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A67" w14:textId="77777777" w:rsidR="00E10A6E" w:rsidRPr="00E10A6E" w:rsidRDefault="00E10A6E" w:rsidP="00E10A6E">
      <w:pPr>
        <w:spacing w:before="120" w:after="120" w:line="276" w:lineRule="auto"/>
        <w:jc w:val="center"/>
        <w:rPr>
          <w:rFonts w:ascii="Calibri" w:hAnsi="Calibri" w:cs="Calibri"/>
        </w:rPr>
      </w:pPr>
      <w:r w:rsidRPr="00E10A6E">
        <w:rPr>
          <w:rFonts w:ascii="Calibri" w:hAnsi="Calibri" w:cs="Calibri"/>
          <w:noProof/>
        </w:rPr>
        <w:drawing>
          <wp:inline distT="0" distB="0" distL="0" distR="0" wp14:anchorId="020F7A3A" wp14:editId="26D0C708">
            <wp:extent cx="5734050" cy="1479385"/>
            <wp:effectExtent l="0" t="0" r="0" b="0"/>
            <wp:docPr id="847379813" name="Drawing 0" descr="16a8eb8774c0f15d0841fd851133ac52.png"/>
            <wp:cNvGraphicFramePr/>
            <a:graphic xmlns:a="http://schemas.openxmlformats.org/drawingml/2006/main">
              <a:graphicData uri="http://schemas.openxmlformats.org/drawingml/2006/picture">
                <pic:pic xmlns:pic="http://schemas.openxmlformats.org/drawingml/2006/picture">
                  <pic:nvPicPr>
                    <pic:cNvPr id="0" name="Picture 0" descr="16a8eb8774c0f15d0841fd851133ac52.png"/>
                    <pic:cNvPicPr>
                      <a:picLocks noChangeAspect="1"/>
                    </pic:cNvPicPr>
                  </pic:nvPicPr>
                  <pic:blipFill>
                    <a:blip r:embed="rId5"/>
                    <a:stretch>
                      <a:fillRect/>
                    </a:stretch>
                  </pic:blipFill>
                  <pic:spPr>
                    <a:xfrm>
                      <a:off x="0" y="0"/>
                      <a:ext cx="5734050" cy="1479385"/>
                    </a:xfrm>
                    <a:prstGeom prst="rect">
                      <a:avLst/>
                    </a:prstGeom>
                  </pic:spPr>
                </pic:pic>
              </a:graphicData>
            </a:graphic>
          </wp:inline>
        </w:drawing>
      </w:r>
    </w:p>
    <w:p w14:paraId="3D92ADBC" w14:textId="77777777" w:rsidR="00E10A6E" w:rsidRPr="00E10A6E" w:rsidRDefault="00E10A6E" w:rsidP="00E10A6E">
      <w:pPr>
        <w:spacing w:before="120" w:after="120" w:line="276" w:lineRule="auto"/>
        <w:rPr>
          <w:rFonts w:ascii="Calibri" w:hAnsi="Calibri" w:cs="Calibri"/>
          <w:b/>
          <w:bCs/>
        </w:rPr>
      </w:pPr>
      <w:r w:rsidRPr="00E10A6E">
        <w:rPr>
          <w:rFonts w:ascii="Calibri" w:eastAsia="Canva Sans Bold" w:hAnsi="Calibri" w:cs="Calibri"/>
          <w:b/>
          <w:bCs/>
          <w:color w:val="000000"/>
        </w:rPr>
        <w:t xml:space="preserve">This webinar introduces skills and practical strategies for developing empathetic, curiosity-led leadership, to help improve communication, connection and cooperation at your library.  </w:t>
      </w:r>
    </w:p>
    <w:tbl>
      <w:tblPr>
        <w:tblW w:w="9030" w:type="dxa"/>
        <w:tblInd w:w="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 w:type="dxa"/>
          <w:right w:w="10" w:type="dxa"/>
        </w:tblCellMar>
        <w:tblLook w:val="04A0" w:firstRow="1" w:lastRow="0" w:firstColumn="1" w:lastColumn="0" w:noHBand="0" w:noVBand="1"/>
      </w:tblPr>
      <w:tblGrid>
        <w:gridCol w:w="9030"/>
      </w:tblGrid>
      <w:tr w:rsidR="00E10A6E" w:rsidRPr="00E10A6E" w14:paraId="4604E4C6" w14:textId="77777777" w:rsidTr="004C19B1">
        <w:tc>
          <w:tcPr>
            <w:tcW w:w="9030" w:type="dxa"/>
            <w:tcBorders>
              <w:top w:val="single" w:sz="12" w:space="0" w:color="000000"/>
            </w:tcBorders>
            <w:tcMar>
              <w:top w:w="75" w:type="dxa"/>
              <w:left w:w="75" w:type="dxa"/>
              <w:bottom w:w="75" w:type="dxa"/>
              <w:right w:w="75" w:type="dxa"/>
            </w:tcMar>
          </w:tcPr>
          <w:p w14:paraId="3F1FE79A" w14:textId="77777777" w:rsidR="00E10A6E" w:rsidRPr="00E10A6E" w:rsidRDefault="00E10A6E" w:rsidP="00E10A6E">
            <w:pPr>
              <w:spacing w:before="120" w:after="120" w:line="276" w:lineRule="auto"/>
              <w:rPr>
                <w:rFonts w:ascii="Calibri" w:hAnsi="Calibri" w:cs="Calibri"/>
                <w:sz w:val="48"/>
                <w:szCs w:val="48"/>
              </w:rPr>
            </w:pPr>
            <w:r w:rsidRPr="00E10A6E">
              <w:rPr>
                <w:rFonts w:ascii="Calibri" w:eastAsia="Ruda Bold" w:hAnsi="Calibri" w:cs="Calibri"/>
                <w:b/>
                <w:bCs/>
                <w:color w:val="000000"/>
                <w:sz w:val="48"/>
                <w:szCs w:val="48"/>
              </w:rPr>
              <w:t xml:space="preserve">Activity #1: Exploring Your Frames/ Lenses </w:t>
            </w:r>
          </w:p>
        </w:tc>
      </w:tr>
      <w:tr w:rsidR="00E10A6E" w:rsidRPr="00E10A6E" w14:paraId="7AA85631" w14:textId="77777777" w:rsidTr="004C19B1">
        <w:tblPrEx>
          <w:tblBorders>
            <w:top w:val="single" w:sz="12" w:space="0" w:color="E4EEFF"/>
            <w:left w:val="single" w:sz="12" w:space="0" w:color="E4EEFF"/>
            <w:bottom w:val="single" w:sz="12" w:space="0" w:color="E4EEFF"/>
            <w:right w:val="single" w:sz="12" w:space="0" w:color="E4EEFF"/>
            <w:insideH w:val="single" w:sz="12" w:space="0" w:color="E4EEFF"/>
            <w:insideV w:val="single" w:sz="12" w:space="0" w:color="E4EEFF"/>
          </w:tblBorders>
        </w:tblPrEx>
        <w:tc>
          <w:tcPr>
            <w:tcW w:w="9030" w:type="dxa"/>
            <w:shd w:val="clear" w:color="auto" w:fill="E4EEFF"/>
            <w:tcMar>
              <w:top w:w="180" w:type="dxa"/>
              <w:left w:w="180" w:type="dxa"/>
              <w:bottom w:w="180" w:type="dxa"/>
              <w:right w:w="180" w:type="dxa"/>
            </w:tcMar>
          </w:tcPr>
          <w:p w14:paraId="44C95400" w14:textId="77777777" w:rsidR="00E10A6E" w:rsidRPr="00E10A6E" w:rsidRDefault="00E10A6E" w:rsidP="00E10A6E">
            <w:pPr>
              <w:spacing w:before="120" w:after="120" w:line="276" w:lineRule="auto"/>
              <w:jc w:val="center"/>
              <w:rPr>
                <w:rFonts w:ascii="Calibri" w:hAnsi="Calibri" w:cs="Calibri"/>
              </w:rPr>
            </w:pPr>
            <w:r w:rsidRPr="00E10A6E">
              <w:rPr>
                <w:rFonts w:ascii="Calibri" w:eastAsia="Ruda Bold" w:hAnsi="Calibri" w:cs="Calibri"/>
                <w:b/>
                <w:bCs/>
                <w:color w:val="000000"/>
              </w:rPr>
              <w:t xml:space="preserve">Add your name to the middle circle below. Using the other circles, fill in some of the frames through which you view and interpret the world. Consider life experiences as well as factors such as geography, gender, race, religion, economic status, etc.  </w:t>
            </w:r>
          </w:p>
        </w:tc>
      </w:tr>
    </w:tbl>
    <w:p w14:paraId="26FF9FF8" w14:textId="77777777" w:rsidR="00E10A6E" w:rsidRDefault="00E10A6E" w:rsidP="00E10A6E">
      <w:pPr>
        <w:spacing w:before="120" w:after="120" w:line="276" w:lineRule="auto"/>
        <w:jc w:val="center"/>
        <w:rPr>
          <w:rFonts w:ascii="Calibri" w:hAnsi="Calibri" w:cs="Calibri"/>
        </w:rPr>
      </w:pPr>
      <w:r w:rsidRPr="00E10A6E">
        <w:rPr>
          <w:rFonts w:ascii="Calibri" w:hAnsi="Calibri" w:cs="Calibri"/>
          <w:noProof/>
        </w:rPr>
        <w:drawing>
          <wp:inline distT="0" distB="0" distL="0" distR="0" wp14:anchorId="32704E15" wp14:editId="197053BF">
            <wp:extent cx="5734050" cy="3843878"/>
            <wp:effectExtent l="0" t="0" r="0" b="0"/>
            <wp:docPr id="1" name="Drawing 1" descr="231522c4f57a7cb4ab05f140515a5bdf.png"/>
            <wp:cNvGraphicFramePr/>
            <a:graphic xmlns:a="http://schemas.openxmlformats.org/drawingml/2006/main">
              <a:graphicData uri="http://schemas.openxmlformats.org/drawingml/2006/picture">
                <pic:pic xmlns:pic="http://schemas.openxmlformats.org/drawingml/2006/picture">
                  <pic:nvPicPr>
                    <pic:cNvPr id="0" name="Picture 1" descr="231522c4f57a7cb4ab05f140515a5bdf.png"/>
                    <pic:cNvPicPr>
                      <a:picLocks noChangeAspect="1"/>
                    </pic:cNvPicPr>
                  </pic:nvPicPr>
                  <pic:blipFill>
                    <a:blip r:embed="rId6"/>
                    <a:srcRect/>
                    <a:stretch>
                      <a:fillRect/>
                    </a:stretch>
                  </pic:blipFill>
                  <pic:spPr>
                    <a:xfrm>
                      <a:off x="0" y="0"/>
                      <a:ext cx="5734050" cy="3843878"/>
                    </a:xfrm>
                    <a:prstGeom prst="rect">
                      <a:avLst/>
                    </a:prstGeom>
                  </pic:spPr>
                </pic:pic>
              </a:graphicData>
            </a:graphic>
          </wp:inline>
        </w:drawing>
      </w:r>
    </w:p>
    <w:p w14:paraId="4DBB9637" w14:textId="77777777" w:rsidR="00E10A6E" w:rsidRDefault="00E10A6E" w:rsidP="00E10A6E">
      <w:pPr>
        <w:spacing w:before="120" w:after="120" w:line="276" w:lineRule="auto"/>
        <w:jc w:val="center"/>
        <w:rPr>
          <w:rFonts w:ascii="Calibri" w:hAnsi="Calibri" w:cs="Calibri"/>
        </w:rPr>
      </w:pPr>
    </w:p>
    <w:p w14:paraId="031E2CC7" w14:textId="77777777" w:rsidR="00E10A6E" w:rsidRPr="00E10A6E" w:rsidRDefault="00E10A6E" w:rsidP="00E10A6E">
      <w:pPr>
        <w:spacing w:before="120" w:after="120" w:line="276" w:lineRule="auto"/>
        <w:jc w:val="center"/>
        <w:rPr>
          <w:rFonts w:ascii="Calibri" w:hAnsi="Calibri" w:cs="Calibri"/>
        </w:rPr>
      </w:pP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E10A6E" w:rsidRPr="00E10A6E" w14:paraId="6094141E" w14:textId="77777777" w:rsidTr="004C19B1">
        <w:tc>
          <w:tcPr>
            <w:tcW w:w="9030" w:type="dxa"/>
            <w:shd w:val="clear" w:color="auto" w:fill="E4EEFF"/>
            <w:tcMar>
              <w:top w:w="180" w:type="dxa"/>
              <w:left w:w="180" w:type="dxa"/>
              <w:bottom w:w="180" w:type="dxa"/>
              <w:right w:w="180" w:type="dxa"/>
            </w:tcMar>
          </w:tcPr>
          <w:p w14:paraId="37A8C4D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lastRenderedPageBreak/>
              <w:t xml:space="preserve">Think back to a moment of conflict and challenge in your own life either personal and professional. Describe the situation briefly below.  </w:t>
            </w:r>
          </w:p>
        </w:tc>
      </w:tr>
      <w:tr w:rsidR="00E10A6E" w:rsidRPr="00E10A6E" w14:paraId="14D6A143" w14:textId="77777777" w:rsidTr="004C19B1">
        <w:tc>
          <w:tcPr>
            <w:tcW w:w="9030" w:type="dxa"/>
            <w:tcMar>
              <w:top w:w="180" w:type="dxa"/>
              <w:left w:w="180" w:type="dxa"/>
              <w:bottom w:w="180" w:type="dxa"/>
              <w:right w:w="180" w:type="dxa"/>
            </w:tcMar>
          </w:tcPr>
          <w:p w14:paraId="2BD49C97"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16881098"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7CF1527C"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50F652E3"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c>
      </w:tr>
    </w:tbl>
    <w:p w14:paraId="08F5562B" w14:textId="77777777" w:rsidR="00E10A6E" w:rsidRPr="00E10A6E" w:rsidRDefault="00E10A6E" w:rsidP="00E10A6E">
      <w:pPr>
        <w:spacing w:before="120" w:after="120" w:line="276" w:lineRule="auto"/>
        <w:rPr>
          <w:rFonts w:ascii="Calibri" w:hAnsi="Calibri" w:cs="Calibri"/>
        </w:rPr>
      </w:pPr>
      <w:r w:rsidRPr="00E10A6E">
        <w:rPr>
          <w:rFonts w:ascii="Calibri" w:eastAsia="Canva Sans Bold" w:hAnsi="Calibri" w:cs="Calibri"/>
          <w:b/>
          <w:bCs/>
          <w:color w:val="000000"/>
        </w:rPr>
        <w:t xml:space="preser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E10A6E" w:rsidRPr="00E10A6E" w14:paraId="1C200211" w14:textId="77777777" w:rsidTr="004C19B1">
        <w:tc>
          <w:tcPr>
            <w:tcW w:w="9030" w:type="dxa"/>
            <w:shd w:val="clear" w:color="auto" w:fill="E4EEFF"/>
            <w:tcMar>
              <w:top w:w="180" w:type="dxa"/>
              <w:left w:w="180" w:type="dxa"/>
              <w:bottom w:w="180" w:type="dxa"/>
              <w:right w:w="180" w:type="dxa"/>
            </w:tcMar>
          </w:tcPr>
          <w:p w14:paraId="46F76665"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How do you think your “frames,” i.e. your life experiences, identities, etc. informed your response to the situation?  </w:t>
            </w:r>
          </w:p>
        </w:tc>
      </w:tr>
      <w:tr w:rsidR="00E10A6E" w:rsidRPr="00E10A6E" w14:paraId="2A0E0C7C" w14:textId="77777777" w:rsidTr="004C19B1">
        <w:tc>
          <w:tcPr>
            <w:tcW w:w="9030" w:type="dxa"/>
            <w:tcMar>
              <w:top w:w="180" w:type="dxa"/>
              <w:left w:w="180" w:type="dxa"/>
              <w:bottom w:w="180" w:type="dxa"/>
              <w:right w:w="180" w:type="dxa"/>
            </w:tcMar>
          </w:tcPr>
          <w:p w14:paraId="12FC03B2"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9267C02"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04704959"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2BA8F08"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c>
      </w:tr>
    </w:tbl>
    <w:p w14:paraId="7801BE12" w14:textId="77777777" w:rsidR="00E10A6E" w:rsidRPr="00E10A6E" w:rsidRDefault="00E10A6E" w:rsidP="00E10A6E">
      <w:pPr>
        <w:spacing w:before="120" w:after="120" w:line="276" w:lineRule="auto"/>
        <w:rPr>
          <w:rFonts w:ascii="Calibri" w:hAnsi="Calibri" w:cs="Calibri"/>
        </w:rPr>
      </w:pPr>
      <w:r w:rsidRPr="00E10A6E">
        <w:rPr>
          <w:rFonts w:ascii="Calibri" w:eastAsia="Canva Sans Bold" w:hAnsi="Calibri" w:cs="Calibri"/>
          <w:b/>
          <w:bCs/>
          <w:color w:val="000000"/>
        </w:rPr>
        <w:t xml:space="preser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E10A6E" w:rsidRPr="00E10A6E" w14:paraId="075AB4E1" w14:textId="77777777" w:rsidTr="004C19B1">
        <w:tc>
          <w:tcPr>
            <w:tcW w:w="9030" w:type="dxa"/>
            <w:shd w:val="clear" w:color="auto" w:fill="E4EEFF"/>
            <w:tcMar>
              <w:top w:w="180" w:type="dxa"/>
              <w:left w:w="180" w:type="dxa"/>
              <w:bottom w:w="180" w:type="dxa"/>
              <w:right w:w="180" w:type="dxa"/>
            </w:tcMar>
          </w:tcPr>
          <w:p w14:paraId="75E5AE40"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Consider the other person in the situation. Maybe you know them well, maybe not at all. Reflect briefly on how their own frames might have influenced their response. What would be a “most generous interpretation” you could apply to the situation?  </w:t>
            </w:r>
          </w:p>
        </w:tc>
      </w:tr>
      <w:tr w:rsidR="00E10A6E" w:rsidRPr="00E10A6E" w14:paraId="77D81592" w14:textId="77777777" w:rsidTr="004C19B1">
        <w:tc>
          <w:tcPr>
            <w:tcW w:w="9030" w:type="dxa"/>
            <w:tcMar>
              <w:top w:w="180" w:type="dxa"/>
              <w:left w:w="180" w:type="dxa"/>
              <w:bottom w:w="180" w:type="dxa"/>
              <w:right w:w="180" w:type="dxa"/>
            </w:tcMar>
          </w:tcPr>
          <w:p w14:paraId="3DD9D74F"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925B4AF"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691863F"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c>
      </w:tr>
    </w:tbl>
    <w:p w14:paraId="37C07774" w14:textId="77777777" w:rsidR="00E10A6E" w:rsidRPr="00E10A6E" w:rsidRDefault="00E10A6E" w:rsidP="00E10A6E">
      <w:pPr>
        <w:spacing w:before="120" w:after="120" w:line="276" w:lineRule="auto"/>
        <w:rPr>
          <w:rFonts w:ascii="Calibri" w:hAnsi="Calibri" w:cs="Calibri"/>
        </w:rPr>
      </w:pPr>
      <w:r w:rsidRPr="00E10A6E">
        <w:rPr>
          <w:rFonts w:ascii="Calibri" w:eastAsia="Overpass" w:hAnsi="Calibri" w:cs="Calibri"/>
          <w:color w:val="000000"/>
        </w:rPr>
        <w:t xml:space="preserve"> </w:t>
      </w:r>
    </w:p>
    <w:p w14:paraId="6DB368E4" w14:textId="200732CB" w:rsidR="00E10A6E" w:rsidRPr="00E10A6E" w:rsidRDefault="00E10A6E" w:rsidP="00E10A6E">
      <w:pPr>
        <w:spacing w:before="120" w:after="120" w:line="276" w:lineRule="auto"/>
        <w:rPr>
          <w:rFonts w:ascii="Calibri" w:hAnsi="Calibri" w:cs="Calibri"/>
        </w:rPr>
      </w:pPr>
      <w:r w:rsidRPr="00E10A6E">
        <w:rPr>
          <w:rFonts w:ascii="Calibri" w:eastAsia="Overpass" w:hAnsi="Calibri" w:cs="Calibri"/>
          <w:color w:val="000000"/>
        </w:rPr>
        <w:t xml:space="preserve">BONUS: Sometimes our biggest source of conflict is internal, and the only “relationship” in question is the one we have with ourselves. Take a look again at the above three questions again and think about: 1) a source of internal conflict, 2) what frames might inform that conflict, and 3) a most generous interpretation you can apply to YOURSELF.  </w:t>
      </w:r>
    </w:p>
    <w:p w14:paraId="16CBE52C" w14:textId="77777777" w:rsidR="00E10A6E" w:rsidRPr="00E10A6E" w:rsidRDefault="00E10A6E" w:rsidP="00E10A6E">
      <w:pPr>
        <w:spacing w:before="120" w:after="120" w:line="276" w:lineRule="auto"/>
        <w:rPr>
          <w:rFonts w:ascii="Calibri" w:hAnsi="Calibri" w:cs="Calibri"/>
        </w:rPr>
      </w:pPr>
      <w:r w:rsidRPr="00E10A6E">
        <w:rPr>
          <w:rFonts w:ascii="Calibri" w:eastAsia="Overpass" w:hAnsi="Calibri" w:cs="Calibri"/>
          <w:color w:val="000000"/>
        </w:rPr>
        <w:lastRenderedPageBreak/>
        <w:t xml:space="preserve"> </w:t>
      </w:r>
    </w:p>
    <w:tbl>
      <w:tblPr>
        <w:tblW w:w="9030" w:type="dxa"/>
        <w:tblInd w:w="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 w:type="dxa"/>
          <w:right w:w="10" w:type="dxa"/>
        </w:tblCellMar>
        <w:tblLook w:val="04A0" w:firstRow="1" w:lastRow="0" w:firstColumn="1" w:lastColumn="0" w:noHBand="0" w:noVBand="1"/>
      </w:tblPr>
      <w:tblGrid>
        <w:gridCol w:w="9030"/>
      </w:tblGrid>
      <w:tr w:rsidR="00E10A6E" w:rsidRPr="00E10A6E" w14:paraId="1878C063" w14:textId="77777777" w:rsidTr="004C19B1">
        <w:tc>
          <w:tcPr>
            <w:tcW w:w="9030" w:type="dxa"/>
            <w:tcBorders>
              <w:top w:val="single" w:sz="12" w:space="0" w:color="000000"/>
            </w:tcBorders>
            <w:tcMar>
              <w:top w:w="75" w:type="dxa"/>
              <w:left w:w="75" w:type="dxa"/>
              <w:bottom w:w="75" w:type="dxa"/>
              <w:right w:w="75" w:type="dxa"/>
            </w:tcMar>
          </w:tcPr>
          <w:p w14:paraId="27238381" w14:textId="77777777" w:rsidR="00E10A6E" w:rsidRPr="00E10A6E" w:rsidRDefault="00E10A6E" w:rsidP="00E10A6E">
            <w:pPr>
              <w:spacing w:before="120" w:after="120" w:line="276" w:lineRule="auto"/>
              <w:rPr>
                <w:rFonts w:ascii="Calibri" w:hAnsi="Calibri" w:cs="Calibri"/>
                <w:sz w:val="48"/>
                <w:szCs w:val="48"/>
              </w:rPr>
            </w:pPr>
            <w:r w:rsidRPr="00E10A6E">
              <w:rPr>
                <w:rFonts w:ascii="Calibri" w:eastAsia="Ruda Bold" w:hAnsi="Calibri" w:cs="Calibri"/>
                <w:b/>
                <w:bCs/>
                <w:color w:val="000000"/>
                <w:sz w:val="48"/>
                <w:szCs w:val="48"/>
              </w:rPr>
              <w:t xml:space="preserve">Activity #2: Mindful Listening </w:t>
            </w:r>
          </w:p>
        </w:tc>
      </w:tr>
    </w:tbl>
    <w:p w14:paraId="6B79453E" w14:textId="6D916C05" w:rsidR="00E10A6E" w:rsidRPr="00E10A6E" w:rsidRDefault="00E10A6E" w:rsidP="00E10A6E">
      <w:pPr>
        <w:spacing w:before="120" w:after="120" w:line="276" w:lineRule="auto"/>
        <w:rPr>
          <w:rFonts w:ascii="Calibri" w:hAnsi="Calibri" w:cs="Calibri"/>
        </w:rPr>
      </w:pPr>
    </w:p>
    <w:tbl>
      <w:tblPr>
        <w:tblW w:w="9030" w:type="dxa"/>
        <w:tblInd w:w="180" w:type="dxa"/>
        <w:tblBorders>
          <w:top w:val="single" w:sz="12" w:space="0" w:color="E4EEFF"/>
          <w:left w:val="single" w:sz="12" w:space="0" w:color="E4EEFF"/>
          <w:bottom w:val="single" w:sz="12" w:space="0" w:color="E4EEFF"/>
          <w:right w:val="single" w:sz="12" w:space="0" w:color="E4EEFF"/>
          <w:insideH w:val="single" w:sz="12" w:space="0" w:color="E4EEFF"/>
          <w:insideV w:val="single" w:sz="12" w:space="0" w:color="E4EEFF"/>
        </w:tblBorders>
        <w:tblCellMar>
          <w:left w:w="10" w:type="dxa"/>
          <w:right w:w="10" w:type="dxa"/>
        </w:tblCellMar>
        <w:tblLook w:val="04A0" w:firstRow="1" w:lastRow="0" w:firstColumn="1" w:lastColumn="0" w:noHBand="0" w:noVBand="1"/>
      </w:tblPr>
      <w:tblGrid>
        <w:gridCol w:w="9030"/>
      </w:tblGrid>
      <w:tr w:rsidR="00E10A6E" w:rsidRPr="00E10A6E" w14:paraId="7E9F3EFA" w14:textId="77777777" w:rsidTr="004C19B1">
        <w:tc>
          <w:tcPr>
            <w:tcW w:w="9030" w:type="dxa"/>
            <w:shd w:val="clear" w:color="auto" w:fill="E4EEFF"/>
            <w:tcMar>
              <w:top w:w="180" w:type="dxa"/>
              <w:left w:w="180" w:type="dxa"/>
              <w:bottom w:w="180" w:type="dxa"/>
              <w:right w:w="180" w:type="dxa"/>
            </w:tcMar>
          </w:tcPr>
          <w:p w14:paraId="26624CF7" w14:textId="77777777" w:rsidR="00E10A6E" w:rsidRPr="00E10A6E" w:rsidRDefault="00E10A6E" w:rsidP="00E10A6E">
            <w:pPr>
              <w:spacing w:before="120" w:after="120" w:line="276" w:lineRule="auto"/>
              <w:jc w:val="center"/>
              <w:rPr>
                <w:rFonts w:ascii="Calibri" w:hAnsi="Calibri" w:cs="Calibri"/>
              </w:rPr>
            </w:pPr>
            <w:r w:rsidRPr="00E10A6E">
              <w:rPr>
                <w:rFonts w:ascii="Calibri" w:eastAsia="Ruda Bold" w:hAnsi="Calibri" w:cs="Calibri"/>
                <w:b/>
                <w:bCs/>
                <w:color w:val="000000"/>
              </w:rPr>
              <w:t xml:space="preserve">In this next activity, you are going to practice mindful listening. You can do this one of two ways, on your own or in pairs.  </w:t>
            </w:r>
          </w:p>
          <w:p w14:paraId="242F79B9"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WORKING IN PAIRS TAKING TURNS AS SPEAKER AND LISTENER:  </w:t>
            </w:r>
          </w:p>
          <w:p w14:paraId="4C5D6774" w14:textId="77777777" w:rsidR="00E10A6E" w:rsidRPr="00E10A6E" w:rsidRDefault="00E10A6E" w:rsidP="00E10A6E">
            <w:pPr>
              <w:numPr>
                <w:ilvl w:val="0"/>
                <w:numId w:val="1"/>
              </w:numPr>
              <w:spacing w:after="0" w:line="276" w:lineRule="auto"/>
              <w:rPr>
                <w:rFonts w:ascii="Calibri" w:hAnsi="Calibri" w:cs="Calibri"/>
              </w:rPr>
            </w:pPr>
            <w:r w:rsidRPr="00E10A6E">
              <w:rPr>
                <w:rFonts w:ascii="Calibri" w:eastAsia="Ruda Bold" w:hAnsi="Calibri" w:cs="Calibri"/>
                <w:b/>
                <w:bCs/>
                <w:color w:val="000000"/>
              </w:rPr>
              <w:t xml:space="preserve">As the speaker, talk through your frames and how you think they might affect the way you see the world and interpret different situations. Feel free to linger on one frame and tell a story about it or talk about how your frames interplay with each other.  </w:t>
            </w:r>
          </w:p>
          <w:p w14:paraId="36569E4A" w14:textId="77777777" w:rsidR="00E10A6E" w:rsidRPr="00E10A6E" w:rsidRDefault="00E10A6E" w:rsidP="00E10A6E">
            <w:pPr>
              <w:numPr>
                <w:ilvl w:val="0"/>
                <w:numId w:val="1"/>
              </w:numPr>
              <w:spacing w:after="0" w:line="276" w:lineRule="auto"/>
              <w:rPr>
                <w:rFonts w:ascii="Calibri" w:hAnsi="Calibri" w:cs="Calibri"/>
              </w:rPr>
            </w:pPr>
            <w:r w:rsidRPr="00E10A6E">
              <w:rPr>
                <w:rFonts w:ascii="Calibri" w:eastAsia="Ruda Bold" w:hAnsi="Calibri" w:cs="Calibri"/>
                <w:b/>
                <w:bCs/>
                <w:color w:val="000000"/>
              </w:rPr>
              <w:t xml:space="preserve">As the listener, try to focus on what the speaker is saying and not what you would like to say in response or what you will talk about when roles are swapped. Use focus, patience, and concentration to stay present and not miss important details including body language and tone of voice. Pay attention to what is happening in your body as you listen to them talk.  </w:t>
            </w:r>
          </w:p>
          <w:p w14:paraId="34034BDC" w14:textId="77777777" w:rsidR="00E10A6E" w:rsidRPr="00E10A6E" w:rsidRDefault="00E10A6E" w:rsidP="00E10A6E">
            <w:pPr>
              <w:numPr>
                <w:ilvl w:val="0"/>
                <w:numId w:val="1"/>
              </w:numPr>
              <w:spacing w:after="0" w:line="276" w:lineRule="auto"/>
              <w:rPr>
                <w:rFonts w:ascii="Calibri" w:hAnsi="Calibri" w:cs="Calibri"/>
              </w:rPr>
            </w:pPr>
            <w:r w:rsidRPr="00E10A6E">
              <w:rPr>
                <w:rFonts w:ascii="Calibri" w:eastAsia="Ruda Bold" w:hAnsi="Calibri" w:cs="Calibri"/>
                <w:b/>
                <w:bCs/>
                <w:color w:val="000000"/>
              </w:rPr>
              <w:t xml:space="preserve">As the listener, you can ask clarifying questions, but only for additional information not discussion/conversation.  </w:t>
            </w:r>
          </w:p>
          <w:p w14:paraId="7D81FBA1" w14:textId="77777777" w:rsidR="00E10A6E" w:rsidRPr="00E10A6E" w:rsidRDefault="00E10A6E" w:rsidP="00E10A6E">
            <w:pPr>
              <w:numPr>
                <w:ilvl w:val="0"/>
                <w:numId w:val="1"/>
              </w:numPr>
              <w:spacing w:after="0" w:line="276" w:lineRule="auto"/>
              <w:rPr>
                <w:rFonts w:ascii="Calibri" w:hAnsi="Calibri" w:cs="Calibri"/>
              </w:rPr>
            </w:pPr>
            <w:r w:rsidRPr="00E10A6E">
              <w:rPr>
                <w:rFonts w:ascii="Calibri" w:eastAsia="Ruda Bold" w:hAnsi="Calibri" w:cs="Calibri"/>
                <w:b/>
                <w:bCs/>
                <w:color w:val="000000"/>
              </w:rPr>
              <w:t xml:space="preserve">Switch roles.  </w:t>
            </w:r>
          </w:p>
        </w:tc>
      </w:tr>
    </w:tbl>
    <w:p w14:paraId="3E4007D0"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E10A6E" w:rsidRPr="00E10A6E" w14:paraId="612ACDFA" w14:textId="77777777" w:rsidTr="004C19B1">
        <w:tc>
          <w:tcPr>
            <w:tcW w:w="9030" w:type="dxa"/>
            <w:shd w:val="clear" w:color="auto" w:fill="E4EEFF"/>
            <w:tcMar>
              <w:top w:w="180" w:type="dxa"/>
              <w:left w:w="180" w:type="dxa"/>
              <w:bottom w:w="180" w:type="dxa"/>
              <w:right w:w="180" w:type="dxa"/>
            </w:tcMar>
          </w:tcPr>
          <w:p w14:paraId="39788E4E"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ON YOUR OWN:  </w:t>
            </w:r>
          </w:p>
          <w:p w14:paraId="60F814B6" w14:textId="77777777" w:rsidR="00E10A6E" w:rsidRPr="00E10A6E" w:rsidRDefault="00E10A6E" w:rsidP="00E10A6E">
            <w:pPr>
              <w:numPr>
                <w:ilvl w:val="0"/>
                <w:numId w:val="2"/>
              </w:numPr>
              <w:spacing w:after="0" w:line="276" w:lineRule="auto"/>
              <w:rPr>
                <w:rFonts w:ascii="Calibri" w:hAnsi="Calibri" w:cs="Calibri"/>
              </w:rPr>
            </w:pPr>
            <w:r w:rsidRPr="00E10A6E">
              <w:rPr>
                <w:rFonts w:ascii="Calibri" w:eastAsia="Ruda Bold" w:hAnsi="Calibri" w:cs="Calibri"/>
                <w:b/>
                <w:bCs/>
                <w:color w:val="000000"/>
              </w:rPr>
              <w:t xml:space="preserve">Identify a moment in your day, where someone is talking to you for a prolonged period of time. This could be five minutes, it could be longer.  </w:t>
            </w:r>
          </w:p>
          <w:p w14:paraId="283F63CF" w14:textId="77777777" w:rsidR="00E10A6E" w:rsidRPr="00E10A6E" w:rsidRDefault="00E10A6E" w:rsidP="00E10A6E">
            <w:pPr>
              <w:numPr>
                <w:ilvl w:val="0"/>
                <w:numId w:val="2"/>
              </w:numPr>
              <w:spacing w:after="0" w:line="276" w:lineRule="auto"/>
              <w:rPr>
                <w:rFonts w:ascii="Calibri" w:hAnsi="Calibri" w:cs="Calibri"/>
              </w:rPr>
            </w:pPr>
            <w:r w:rsidRPr="00E10A6E">
              <w:rPr>
                <w:rFonts w:ascii="Calibri" w:eastAsia="Ruda Bold" w:hAnsi="Calibri" w:cs="Calibri"/>
                <w:b/>
                <w:bCs/>
                <w:color w:val="000000"/>
              </w:rPr>
              <w:t xml:space="preserve">Pay attention to what is happening in your mind as they speak. Are you formulating a response? Judging what they are saying or how they are saying it? Wishing you were somewhere else? Is your mind wandering?  </w:t>
            </w:r>
          </w:p>
          <w:p w14:paraId="22E4BFF0" w14:textId="77777777" w:rsidR="00E10A6E" w:rsidRPr="00E10A6E" w:rsidRDefault="00E10A6E" w:rsidP="00E10A6E">
            <w:pPr>
              <w:numPr>
                <w:ilvl w:val="0"/>
                <w:numId w:val="2"/>
              </w:numPr>
              <w:spacing w:after="0" w:line="276" w:lineRule="auto"/>
              <w:rPr>
                <w:rFonts w:ascii="Calibri" w:hAnsi="Calibri" w:cs="Calibri"/>
              </w:rPr>
            </w:pPr>
            <w:r w:rsidRPr="00E10A6E">
              <w:rPr>
                <w:rFonts w:ascii="Calibri" w:eastAsia="Ruda Bold" w:hAnsi="Calibri" w:cs="Calibri"/>
                <w:b/>
                <w:bCs/>
                <w:color w:val="000000"/>
              </w:rPr>
              <w:t xml:space="preserve">Try to focus on what the other person is saying without judgment or distraction. Use focus, patience, and concentration to stay present and not miss important details including body language and tone of voice. Pay attention to what is happening in your body as you listen to them talk.  </w:t>
            </w:r>
          </w:p>
          <w:p w14:paraId="3CA41575" w14:textId="77777777" w:rsidR="00E10A6E" w:rsidRPr="00E10A6E" w:rsidRDefault="00E10A6E" w:rsidP="00E10A6E">
            <w:pPr>
              <w:numPr>
                <w:ilvl w:val="0"/>
                <w:numId w:val="2"/>
              </w:numPr>
              <w:spacing w:after="0" w:line="276" w:lineRule="auto"/>
              <w:rPr>
                <w:rFonts w:ascii="Calibri" w:hAnsi="Calibri" w:cs="Calibri"/>
              </w:rPr>
            </w:pPr>
            <w:r w:rsidRPr="00E10A6E">
              <w:rPr>
                <w:rFonts w:ascii="Calibri" w:eastAsia="Ruda Bold" w:hAnsi="Calibri" w:cs="Calibri"/>
                <w:b/>
                <w:bCs/>
                <w:color w:val="000000"/>
              </w:rPr>
              <w:t xml:space="preserve">When you are back on your own, reflect on how you did with mindful listening (see below).  </w:t>
            </w:r>
          </w:p>
          <w:p w14:paraId="7DD7F6FA" w14:textId="77777777" w:rsidR="00E10A6E" w:rsidRPr="00E10A6E" w:rsidRDefault="00E10A6E" w:rsidP="00E10A6E">
            <w:pPr>
              <w:numPr>
                <w:ilvl w:val="0"/>
                <w:numId w:val="2"/>
              </w:numPr>
              <w:spacing w:after="0" w:line="276" w:lineRule="auto"/>
              <w:rPr>
                <w:rFonts w:ascii="Calibri" w:hAnsi="Calibri" w:cs="Calibri"/>
              </w:rPr>
            </w:pPr>
            <w:r w:rsidRPr="00E10A6E">
              <w:rPr>
                <w:rFonts w:ascii="Calibri" w:eastAsia="Ruda Bold" w:hAnsi="Calibri" w:cs="Calibri"/>
                <w:b/>
                <w:bCs/>
                <w:color w:val="000000"/>
              </w:rPr>
              <w:t xml:space="preserve">Keep practicing!  </w:t>
            </w:r>
          </w:p>
        </w:tc>
      </w:tr>
    </w:tbl>
    <w:p w14:paraId="77FEDE1C" w14:textId="4BAA64F1" w:rsidR="00E10A6E" w:rsidRPr="00E10A6E" w:rsidRDefault="00E10A6E" w:rsidP="00E10A6E">
      <w:pPr>
        <w:spacing w:before="120" w:after="120" w:line="276" w:lineRule="auto"/>
        <w:rPr>
          <w:rFonts w:ascii="Calibri" w:hAnsi="Calibri" w:cs="Calibri"/>
        </w:rPr>
      </w:pPr>
    </w:p>
    <w:tbl>
      <w:tblPr>
        <w:tblW w:w="9030" w:type="dxa"/>
        <w:tblInd w:w="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 w:type="dxa"/>
          <w:right w:w="10" w:type="dxa"/>
        </w:tblCellMar>
        <w:tblLook w:val="04A0" w:firstRow="1" w:lastRow="0" w:firstColumn="1" w:lastColumn="0" w:noHBand="0" w:noVBand="1"/>
      </w:tblPr>
      <w:tblGrid>
        <w:gridCol w:w="9030"/>
      </w:tblGrid>
      <w:tr w:rsidR="00E10A6E" w:rsidRPr="00E10A6E" w14:paraId="00FC6A4C" w14:textId="77777777" w:rsidTr="004C19B1">
        <w:tc>
          <w:tcPr>
            <w:tcW w:w="9030" w:type="dxa"/>
            <w:tcBorders>
              <w:top w:val="single" w:sz="12" w:space="0" w:color="000000"/>
            </w:tcBorders>
            <w:tcMar>
              <w:top w:w="75" w:type="dxa"/>
              <w:left w:w="75" w:type="dxa"/>
              <w:bottom w:w="75" w:type="dxa"/>
              <w:right w:w="75" w:type="dxa"/>
            </w:tcMar>
          </w:tcPr>
          <w:p w14:paraId="079BD9BA" w14:textId="77777777" w:rsidR="00E10A6E" w:rsidRPr="00E10A6E" w:rsidRDefault="00E10A6E" w:rsidP="00E10A6E">
            <w:pPr>
              <w:spacing w:before="120" w:after="120" w:line="276" w:lineRule="auto"/>
              <w:rPr>
                <w:rFonts w:ascii="Calibri" w:hAnsi="Calibri" w:cs="Calibri"/>
                <w:sz w:val="48"/>
                <w:szCs w:val="48"/>
              </w:rPr>
            </w:pPr>
            <w:r w:rsidRPr="00E10A6E">
              <w:rPr>
                <w:rFonts w:ascii="Calibri" w:eastAsia="Ruda Bold" w:hAnsi="Calibri" w:cs="Calibri"/>
                <w:b/>
                <w:bCs/>
                <w:color w:val="000000"/>
                <w:sz w:val="48"/>
                <w:szCs w:val="48"/>
              </w:rPr>
              <w:t xml:space="preserve">Reflection </w:t>
            </w:r>
          </w:p>
        </w:tc>
      </w:tr>
      <w:tr w:rsidR="00E10A6E" w:rsidRPr="00E10A6E" w14:paraId="3E078304" w14:textId="77777777" w:rsidTr="004C19B1">
        <w:tblPrEx>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PrEx>
        <w:tc>
          <w:tcPr>
            <w:tcW w:w="9030" w:type="dxa"/>
            <w:shd w:val="clear" w:color="auto" w:fill="E4EEFF"/>
            <w:tcMar>
              <w:top w:w="180" w:type="dxa"/>
              <w:left w:w="180" w:type="dxa"/>
              <w:bottom w:w="180" w:type="dxa"/>
              <w:right w:w="180" w:type="dxa"/>
            </w:tcMar>
          </w:tcPr>
          <w:p w14:paraId="6E86A22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Think about your experience with mindful listening, either in pairs or experimenting with regular interactions. What did you notice about your mind? How did mindful listening change the way you listened?  </w:t>
            </w:r>
          </w:p>
        </w:tc>
      </w:tr>
      <w:tr w:rsidR="00E10A6E" w:rsidRPr="00E10A6E" w14:paraId="1034B9B0" w14:textId="77777777" w:rsidTr="004C19B1">
        <w:tblPrEx>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PrEx>
        <w:tc>
          <w:tcPr>
            <w:tcW w:w="9030" w:type="dxa"/>
            <w:tcMar>
              <w:top w:w="180" w:type="dxa"/>
              <w:left w:w="180" w:type="dxa"/>
              <w:bottom w:w="180" w:type="dxa"/>
              <w:right w:w="180" w:type="dxa"/>
            </w:tcMar>
          </w:tcPr>
          <w:p w14:paraId="413A1562"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C531DC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4BAA3894"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5C49652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06BA456A"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3305A87C"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7B1D60A1"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3110FA8C"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7368A2A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c>
      </w:tr>
    </w:tbl>
    <w:p w14:paraId="51C44052" w14:textId="77777777" w:rsidR="00E10A6E" w:rsidRPr="00E10A6E" w:rsidRDefault="00E10A6E" w:rsidP="00E10A6E">
      <w:pPr>
        <w:spacing w:before="120" w:after="120" w:line="276" w:lineRule="auto"/>
        <w:rPr>
          <w:rFonts w:ascii="Calibri" w:hAnsi="Calibri" w:cs="Calibri"/>
        </w:rPr>
      </w:pPr>
      <w:r w:rsidRPr="00E10A6E">
        <w:rPr>
          <w:rFonts w:ascii="Calibri" w:eastAsia="Overpass" w:hAnsi="Calibri" w:cs="Calibri"/>
          <w:color w:val="000000"/>
        </w:rPr>
        <w:t xml:space="preserve"> </w:t>
      </w:r>
    </w:p>
    <w:p w14:paraId="70E46A25" w14:textId="77777777" w:rsidR="00E10A6E" w:rsidRPr="00E10A6E" w:rsidRDefault="00E10A6E" w:rsidP="00E10A6E">
      <w:pPr>
        <w:spacing w:before="120" w:after="120" w:line="276" w:lineRule="auto"/>
        <w:rPr>
          <w:rFonts w:ascii="Calibri" w:hAnsi="Calibri" w:cs="Calibri"/>
        </w:rPr>
      </w:pPr>
      <w:r w:rsidRPr="00E10A6E">
        <w:rPr>
          <w:rFonts w:ascii="Calibri" w:eastAsia="Overpass" w:hAnsi="Calibri" w:cs="Calibri"/>
          <w:color w:val="000000"/>
        </w:rPr>
        <w:t xml:space="preserve">BONUS: After you have practiced mindful listening, actively practice staying curious longer and avoiding the “advice trap.” After they are done sharing, reflect back what you heard them say to see if you understand correctly, and then ask a series of open-ended questions to help them grapple with their own solutions! </w:t>
      </w:r>
      <w:r w:rsidRPr="00E10A6E">
        <w:rPr>
          <w:rFonts w:ascii="Calibri" w:eastAsia="Ruda Bold" w:hAnsi="Calibri" w:cs="Calibri"/>
          <w:b/>
          <w:bCs/>
          <w:color w:val="000000"/>
        </w:rPr>
        <w:t xml:space="preserve"> </w:t>
      </w:r>
    </w:p>
    <w:p w14:paraId="7BA50FD3" w14:textId="49379A0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bl>
      <w:tblPr>
        <w:tblW w:w="9030" w:type="dxa"/>
        <w:tblInd w:w="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 w:type="dxa"/>
          <w:right w:w="10" w:type="dxa"/>
        </w:tblCellMar>
        <w:tblLook w:val="04A0" w:firstRow="1" w:lastRow="0" w:firstColumn="1" w:lastColumn="0" w:noHBand="0" w:noVBand="1"/>
      </w:tblPr>
      <w:tblGrid>
        <w:gridCol w:w="9030"/>
      </w:tblGrid>
      <w:tr w:rsidR="00E10A6E" w:rsidRPr="00E10A6E" w14:paraId="3D37BCA6" w14:textId="77777777" w:rsidTr="004C19B1">
        <w:tc>
          <w:tcPr>
            <w:tcW w:w="9030" w:type="dxa"/>
            <w:tcBorders>
              <w:top w:val="single" w:sz="12" w:space="0" w:color="000000"/>
            </w:tcBorders>
            <w:tcMar>
              <w:top w:w="75" w:type="dxa"/>
              <w:left w:w="75" w:type="dxa"/>
              <w:bottom w:w="75" w:type="dxa"/>
              <w:right w:w="75" w:type="dxa"/>
            </w:tcMar>
          </w:tcPr>
          <w:p w14:paraId="065D1D3F" w14:textId="2AB2DD00"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Reflection: FACTS </w:t>
            </w:r>
            <w:r w:rsidR="002A03B4" w:rsidRPr="002A03B4">
              <w:rPr>
                <w:rFonts w:ascii="Calibri" w:eastAsia="Ruda Bold" w:hAnsi="Calibri" w:cs="Calibri"/>
                <w:color w:val="000000"/>
              </w:rPr>
              <w:t>(</w:t>
            </w:r>
            <w:r w:rsidR="002A03B4" w:rsidRPr="002A03B4">
              <w:rPr>
                <w:rFonts w:ascii="Calibri" w:eastAsia="Ruda Bold" w:hAnsi="Calibri" w:cs="Calibri"/>
                <w:b/>
                <w:bCs/>
                <w:color w:val="000000"/>
              </w:rPr>
              <w:t>F</w:t>
            </w:r>
            <w:r w:rsidR="002A03B4" w:rsidRPr="002A03B4">
              <w:rPr>
                <w:rFonts w:ascii="Calibri" w:eastAsia="Ruda Bold" w:hAnsi="Calibri" w:cs="Calibri"/>
                <w:color w:val="000000"/>
              </w:rPr>
              <w:t xml:space="preserve">ully Present, </w:t>
            </w:r>
            <w:r w:rsidR="002A03B4" w:rsidRPr="002A03B4">
              <w:rPr>
                <w:rFonts w:ascii="Calibri" w:eastAsia="Ruda Bold" w:hAnsi="Calibri" w:cs="Calibri"/>
                <w:b/>
                <w:bCs/>
                <w:color w:val="000000"/>
              </w:rPr>
              <w:t>A</w:t>
            </w:r>
            <w:r w:rsidR="002A03B4" w:rsidRPr="002A03B4">
              <w:rPr>
                <w:rFonts w:ascii="Calibri" w:eastAsia="Ruda Bold" w:hAnsi="Calibri" w:cs="Calibri"/>
                <w:color w:val="000000"/>
              </w:rPr>
              <w:t xml:space="preserve">cknowledging Feelings, </w:t>
            </w:r>
            <w:r w:rsidR="002A03B4" w:rsidRPr="002A03B4">
              <w:rPr>
                <w:rFonts w:ascii="Calibri" w:eastAsia="Ruda Bold" w:hAnsi="Calibri" w:cs="Calibri"/>
                <w:b/>
                <w:bCs/>
                <w:color w:val="000000"/>
              </w:rPr>
              <w:t>C</w:t>
            </w:r>
            <w:r w:rsidR="002A03B4" w:rsidRPr="002A03B4">
              <w:rPr>
                <w:rFonts w:ascii="Calibri" w:eastAsia="Ruda Bold" w:hAnsi="Calibri" w:cs="Calibri"/>
                <w:color w:val="000000"/>
              </w:rPr>
              <w:t xml:space="preserve">urious Longer, and </w:t>
            </w:r>
            <w:r w:rsidR="002A03B4" w:rsidRPr="002A03B4">
              <w:rPr>
                <w:rFonts w:ascii="Calibri" w:eastAsia="Ruda Bold" w:hAnsi="Calibri" w:cs="Calibri"/>
                <w:b/>
                <w:bCs/>
                <w:color w:val="000000"/>
              </w:rPr>
              <w:t>T</w:t>
            </w:r>
            <w:r w:rsidR="002A03B4" w:rsidRPr="002A03B4">
              <w:rPr>
                <w:rFonts w:ascii="Calibri" w:eastAsia="Ruda Bold" w:hAnsi="Calibri" w:cs="Calibri"/>
                <w:color w:val="000000"/>
              </w:rPr>
              <w:t xml:space="preserve">ag-Teaming Solutions from the </w:t>
            </w:r>
            <w:r w:rsidR="002A03B4" w:rsidRPr="002A03B4">
              <w:rPr>
                <w:rFonts w:ascii="Calibri" w:eastAsia="Ruda Bold" w:hAnsi="Calibri" w:cs="Calibri"/>
                <w:b/>
                <w:bCs/>
                <w:color w:val="000000"/>
              </w:rPr>
              <w:t>S</w:t>
            </w:r>
            <w:r w:rsidR="002A03B4" w:rsidRPr="002A03B4">
              <w:rPr>
                <w:rFonts w:ascii="Calibri" w:eastAsia="Ruda Bold" w:hAnsi="Calibri" w:cs="Calibri"/>
                <w:color w:val="000000"/>
              </w:rPr>
              <w:t>ame Side)</w:t>
            </w:r>
            <w:r w:rsidR="002A03B4">
              <w:rPr>
                <w:rFonts w:ascii="Calibri" w:eastAsia="Ruda Bold" w:hAnsi="Calibri" w:cs="Calibri"/>
                <w:b/>
                <w:bCs/>
                <w:color w:val="000000"/>
              </w:rPr>
              <w:t xml:space="preserve"> </w:t>
            </w:r>
          </w:p>
        </w:tc>
      </w:tr>
      <w:tr w:rsidR="00E10A6E" w:rsidRPr="00E10A6E" w14:paraId="5AB162AB" w14:textId="77777777" w:rsidTr="004C19B1">
        <w:tblPrEx>
          <w:tblBorders>
            <w:top w:val="single" w:sz="12" w:space="0" w:color="E4EEFF"/>
            <w:left w:val="single" w:sz="12" w:space="0" w:color="E4EEFF"/>
            <w:bottom w:val="single" w:sz="12" w:space="0" w:color="E4EEFF"/>
            <w:right w:val="single" w:sz="12" w:space="0" w:color="E4EEFF"/>
            <w:insideH w:val="single" w:sz="12" w:space="0" w:color="E4EEFF"/>
            <w:insideV w:val="single" w:sz="12" w:space="0" w:color="E4EEFF"/>
          </w:tblBorders>
        </w:tblPrEx>
        <w:tc>
          <w:tcPr>
            <w:tcW w:w="9030" w:type="dxa"/>
            <w:shd w:val="clear" w:color="auto" w:fill="E4EEFF"/>
            <w:tcMar>
              <w:top w:w="180" w:type="dxa"/>
              <w:left w:w="180" w:type="dxa"/>
              <w:bottom w:w="180" w:type="dxa"/>
              <w:right w:w="180" w:type="dxa"/>
            </w:tcMar>
          </w:tcPr>
          <w:p w14:paraId="1E4D0014"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Consider this scenario: You’ve had a tough month at work. Your library is understaffed and you are being asked to cover two roles, which means working nights and weekends. You say to one of your friends, “I am so tired of this! We just need to hire more people!” Which of the below responses best utilizes “FACTS” communication?  </w:t>
            </w:r>
          </w:p>
          <w:p w14:paraId="0B08B598"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1.) “It can’t be that bad! You’re lucky to even have a job!”  </w:t>
            </w:r>
          </w:p>
          <w:p w14:paraId="682B2FC7"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lastRenderedPageBreak/>
              <w:t xml:space="preserve">2.) “But you love working at the library! Don’t you know how many people would want that job?”  </w:t>
            </w:r>
          </w:p>
          <w:p w14:paraId="5BD4E1E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3.) “Did I tell you what my boss did last month? This is nothing!” </w:t>
            </w:r>
          </w:p>
          <w:p w14:paraId="10EB1105"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4.) “I know what you should do. You need to walk into your supervisor’s office and tell him he needs to hire more people or you quit.”  </w:t>
            </w:r>
          </w:p>
          <w:p w14:paraId="24F8A5D7"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5.) “That’s just the way life is sometimes. Everyone is understaffed right now.”  </w:t>
            </w:r>
          </w:p>
          <w:p w14:paraId="6E057EA8" w14:textId="77777777" w:rsidR="00E10A6E" w:rsidRDefault="002A03B4" w:rsidP="00E10A6E">
            <w:pPr>
              <w:spacing w:before="120" w:after="120" w:line="276" w:lineRule="auto"/>
              <w:rPr>
                <w:rFonts w:ascii="Calibri" w:eastAsia="Ruda Bold" w:hAnsi="Calibri" w:cs="Calibri"/>
                <w:b/>
                <w:bCs/>
                <w:color w:val="000000"/>
              </w:rPr>
            </w:pPr>
            <w:r>
              <w:rPr>
                <w:rFonts w:ascii="Calibri" w:eastAsia="Ruda Bold" w:hAnsi="Calibri" w:cs="Calibri"/>
                <w:b/>
                <w:bCs/>
                <w:color w:val="000000"/>
              </w:rPr>
              <w:t>6</w:t>
            </w:r>
            <w:r w:rsidR="00E10A6E" w:rsidRPr="00E10A6E">
              <w:rPr>
                <w:rFonts w:ascii="Calibri" w:eastAsia="Ruda Bold" w:hAnsi="Calibri" w:cs="Calibri"/>
                <w:b/>
                <w:bCs/>
                <w:color w:val="000000"/>
              </w:rPr>
              <w:t xml:space="preserve">.) “That sounds really hard. It must be so frustrating to have to do your job and someone else’s. Has anyone talked to you about a plan to hire more people?”  </w:t>
            </w:r>
          </w:p>
          <w:p w14:paraId="71FEE558" w14:textId="290AD7D8" w:rsidR="002A03B4" w:rsidRPr="00E10A6E" w:rsidRDefault="002A03B4" w:rsidP="00E10A6E">
            <w:pPr>
              <w:spacing w:before="120" w:after="120" w:line="276" w:lineRule="auto"/>
              <w:rPr>
                <w:rFonts w:ascii="Calibri" w:hAnsi="Calibri" w:cs="Calibri"/>
              </w:rPr>
            </w:pPr>
          </w:p>
        </w:tc>
      </w:tr>
      <w:tr w:rsidR="00E10A6E" w:rsidRPr="00E10A6E" w14:paraId="792E7A1A" w14:textId="77777777" w:rsidTr="004C19B1">
        <w:tblPrEx>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PrEx>
        <w:tc>
          <w:tcPr>
            <w:tcW w:w="9030" w:type="dxa"/>
            <w:tcMar>
              <w:top w:w="180" w:type="dxa"/>
              <w:left w:w="180" w:type="dxa"/>
              <w:bottom w:w="180" w:type="dxa"/>
              <w:right w:w="180" w:type="dxa"/>
            </w:tcMar>
          </w:tcPr>
          <w:p w14:paraId="62232425"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lastRenderedPageBreak/>
              <w:t xml:space="preserve">As you read the above responses, which response made you feel calm and connected to your friend? How did your body respond to the other responses?  </w:t>
            </w:r>
          </w:p>
        </w:tc>
      </w:tr>
      <w:tr w:rsidR="00E10A6E" w:rsidRPr="00E10A6E" w14:paraId="05144CEA" w14:textId="77777777" w:rsidTr="004C19B1">
        <w:tblPrEx>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PrEx>
        <w:tc>
          <w:tcPr>
            <w:tcW w:w="9030" w:type="dxa"/>
            <w:tcMar>
              <w:top w:w="180" w:type="dxa"/>
              <w:left w:w="180" w:type="dxa"/>
              <w:bottom w:w="180" w:type="dxa"/>
              <w:right w:w="180" w:type="dxa"/>
            </w:tcMar>
          </w:tcPr>
          <w:p w14:paraId="070F2F69"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6C9A7B46"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p w14:paraId="7D782C1B" w14:textId="77777777" w:rsidR="00E10A6E" w:rsidRDefault="00E10A6E" w:rsidP="00E10A6E">
            <w:pPr>
              <w:spacing w:before="120" w:after="120" w:line="276" w:lineRule="auto"/>
              <w:rPr>
                <w:rFonts w:ascii="Calibri" w:eastAsia="Ruda Bold" w:hAnsi="Calibri" w:cs="Calibri"/>
                <w:b/>
                <w:bCs/>
                <w:color w:val="000000"/>
              </w:rPr>
            </w:pPr>
            <w:r w:rsidRPr="00E10A6E">
              <w:rPr>
                <w:rFonts w:ascii="Calibri" w:eastAsia="Ruda Bold" w:hAnsi="Calibri" w:cs="Calibri"/>
                <w:b/>
                <w:bCs/>
                <w:color w:val="000000"/>
              </w:rPr>
              <w:t xml:space="preserve"> </w:t>
            </w:r>
          </w:p>
          <w:p w14:paraId="70F05EE3" w14:textId="77777777" w:rsidR="00FA1C1E" w:rsidRDefault="00FA1C1E" w:rsidP="00E10A6E">
            <w:pPr>
              <w:spacing w:before="120" w:after="120" w:line="276" w:lineRule="auto"/>
              <w:rPr>
                <w:rFonts w:ascii="Calibri" w:eastAsia="Ruda Bold" w:hAnsi="Calibri" w:cs="Calibri"/>
                <w:b/>
                <w:bCs/>
                <w:color w:val="000000"/>
              </w:rPr>
            </w:pPr>
          </w:p>
          <w:p w14:paraId="3A5FEEF4" w14:textId="77777777" w:rsidR="00FA1C1E" w:rsidRPr="00E10A6E" w:rsidRDefault="00FA1C1E" w:rsidP="00E10A6E">
            <w:pPr>
              <w:spacing w:before="120" w:after="120" w:line="276" w:lineRule="auto"/>
              <w:rPr>
                <w:rFonts w:ascii="Calibri" w:hAnsi="Calibri" w:cs="Calibri"/>
              </w:rPr>
            </w:pPr>
          </w:p>
          <w:p w14:paraId="0640F56F" w14:textId="77777777" w:rsidR="00E10A6E" w:rsidRPr="00E10A6E" w:rsidRDefault="00E10A6E" w:rsidP="00E10A6E">
            <w:pPr>
              <w:spacing w:before="120" w:after="120" w:line="276" w:lineRule="auto"/>
              <w:rPr>
                <w:rFonts w:ascii="Calibri" w:hAnsi="Calibri" w:cs="Calibri"/>
              </w:rPr>
            </w:pPr>
            <w:r w:rsidRPr="00E10A6E">
              <w:rPr>
                <w:rFonts w:ascii="Calibri" w:eastAsia="Ruda Bold" w:hAnsi="Calibri" w:cs="Calibri"/>
                <w:b/>
                <w:bCs/>
                <w:color w:val="000000"/>
              </w:rPr>
              <w:t xml:space="preserve"> </w:t>
            </w:r>
          </w:p>
        </w:tc>
      </w:tr>
    </w:tbl>
    <w:p w14:paraId="76D75936" w14:textId="77777777" w:rsidR="00E10A6E" w:rsidRDefault="00E10A6E" w:rsidP="00E10A6E">
      <w:pPr>
        <w:spacing w:before="120" w:after="120" w:line="276" w:lineRule="auto"/>
        <w:rPr>
          <w:rFonts w:ascii="Calibri" w:eastAsia="Ruda Bold" w:hAnsi="Calibri" w:cs="Calibri"/>
          <w:b/>
          <w:bCs/>
          <w:color w:val="000000"/>
        </w:rPr>
      </w:pPr>
      <w:r w:rsidRPr="00E10A6E">
        <w:rPr>
          <w:rFonts w:ascii="Calibri" w:eastAsia="Ruda Bold" w:hAnsi="Calibri" w:cs="Calibri"/>
          <w:b/>
          <w:bCs/>
          <w:color w:val="000000"/>
        </w:rPr>
        <w:t xml:space="preserve"> </w:t>
      </w:r>
    </w:p>
    <w:p w14:paraId="0C57FA8A" w14:textId="77777777" w:rsidR="00FA1C1E" w:rsidRPr="00E10A6E" w:rsidRDefault="00FA1C1E" w:rsidP="00E10A6E">
      <w:pPr>
        <w:spacing w:before="120" w:after="120" w:line="276" w:lineRule="auto"/>
        <w:rPr>
          <w:rFonts w:ascii="Calibri" w:hAnsi="Calibri" w:cs="Calibri"/>
        </w:rPr>
      </w:pPr>
    </w:p>
    <w:p w14:paraId="3E867344" w14:textId="3AAFF10F" w:rsidR="00E10A6E" w:rsidRDefault="00E10A6E" w:rsidP="00E10A6E">
      <w:pPr>
        <w:spacing w:before="120" w:after="120" w:line="276" w:lineRule="auto"/>
        <w:rPr>
          <w:rFonts w:ascii="Calibri" w:eastAsia="Ruda Bold" w:hAnsi="Calibri" w:cs="Calibri"/>
          <w:b/>
          <w:bCs/>
          <w:color w:val="000000"/>
        </w:rPr>
      </w:pPr>
      <w:r w:rsidRPr="00E10A6E">
        <w:rPr>
          <w:rFonts w:ascii="Calibri" w:eastAsia="Ruda Bold" w:hAnsi="Calibri" w:cs="Calibri"/>
          <w:b/>
          <w:bCs/>
          <w:color w:val="000000"/>
        </w:rPr>
        <w:t xml:space="preserve">Thank you for attending “Leadership strategies for building connection and defusing difficult situations”! Questions or feedback? Please feel free to reach out to me at </w:t>
      </w:r>
      <w:hyperlink r:id="rId7" w:history="1">
        <w:r w:rsidRPr="002A03B4">
          <w:rPr>
            <w:rStyle w:val="Hyperlink"/>
            <w:rFonts w:ascii="Calibri" w:eastAsia="Ruda Bold" w:hAnsi="Calibri" w:cs="Calibri"/>
            <w:b/>
            <w:bCs/>
          </w:rPr>
          <w:t>rebekah.cummings@utah.edu</w:t>
        </w:r>
      </w:hyperlink>
      <w:r w:rsidRPr="00E10A6E">
        <w:rPr>
          <w:rFonts w:ascii="Calibri" w:eastAsia="Ruda Bold" w:hAnsi="Calibri" w:cs="Calibri"/>
          <w:b/>
          <w:bCs/>
          <w:color w:val="000000"/>
        </w:rPr>
        <w:t xml:space="preserve">.  </w:t>
      </w:r>
    </w:p>
    <w:p w14:paraId="1632CF21" w14:textId="77777777" w:rsidR="00FA1C1E" w:rsidRPr="00E10A6E" w:rsidRDefault="00FA1C1E" w:rsidP="00E10A6E">
      <w:pPr>
        <w:spacing w:before="120" w:after="120" w:line="276" w:lineRule="auto"/>
        <w:rPr>
          <w:rFonts w:ascii="Calibri" w:hAnsi="Calibri" w:cs="Calibri"/>
        </w:rPr>
      </w:pPr>
    </w:p>
    <w:p w14:paraId="4700BAEA" w14:textId="77777777" w:rsidR="00E10A6E" w:rsidRPr="002A03B4" w:rsidRDefault="00E10A6E" w:rsidP="00E10A6E">
      <w:pPr>
        <w:spacing w:before="120" w:after="120" w:line="276" w:lineRule="auto"/>
        <w:rPr>
          <w:rFonts w:ascii="Calibri" w:hAnsi="Calibri" w:cs="Calibri"/>
          <w:sz w:val="36"/>
          <w:szCs w:val="36"/>
        </w:rPr>
      </w:pPr>
      <w:r w:rsidRPr="002A03B4">
        <w:rPr>
          <w:rFonts w:ascii="Calibri" w:eastAsia="Ruda Bold" w:hAnsi="Calibri" w:cs="Calibri"/>
          <w:b/>
          <w:bCs/>
          <w:color w:val="231F20"/>
          <w:sz w:val="36"/>
          <w:szCs w:val="36"/>
        </w:rPr>
        <w:t xml:space="preserve">All webinar materials available at </w:t>
      </w:r>
      <w:hyperlink r:id="rId8">
        <w:r w:rsidRPr="002A03B4">
          <w:rPr>
            <w:rFonts w:ascii="Calibri" w:eastAsia="Ruda Bold" w:hAnsi="Calibri" w:cs="Calibri"/>
            <w:b/>
            <w:bCs/>
            <w:color w:val="1A62FF"/>
            <w:sz w:val="36"/>
            <w:szCs w:val="36"/>
            <w:u w:val="single" w:color="1A62FF"/>
          </w:rPr>
          <w:t>https://www.webjunction.org/events/webjunction/leadership-strategies.html</w:t>
        </w:r>
      </w:hyperlink>
      <w:r w:rsidRPr="002A03B4">
        <w:rPr>
          <w:rFonts w:ascii="Calibri" w:eastAsia="Ruda Bold" w:hAnsi="Calibri" w:cs="Calibri"/>
          <w:b/>
          <w:bCs/>
          <w:color w:val="231F20"/>
          <w:sz w:val="36"/>
          <w:szCs w:val="36"/>
        </w:rPr>
        <w:t xml:space="preserve"> </w:t>
      </w:r>
    </w:p>
    <w:p w14:paraId="1ACBB5FB" w14:textId="77777777" w:rsidR="001115C3" w:rsidRPr="00E10A6E" w:rsidRDefault="001115C3" w:rsidP="00E10A6E">
      <w:pPr>
        <w:spacing w:line="276" w:lineRule="auto"/>
        <w:rPr>
          <w:rFonts w:ascii="Calibri" w:hAnsi="Calibri" w:cs="Calibri"/>
        </w:rPr>
      </w:pPr>
    </w:p>
    <w:sectPr w:rsidR="001115C3" w:rsidRPr="00E10A6E" w:rsidSect="004A6318">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nva Sans Bold">
    <w:altName w:val="Calibri"/>
    <w:charset w:val="00"/>
    <w:family w:val="auto"/>
    <w:pitch w:val="default"/>
  </w:font>
  <w:font w:name="Ruda Bold">
    <w:altName w:val="Calibri"/>
    <w:charset w:val="00"/>
    <w:family w:val="auto"/>
    <w:pitch w:val="default"/>
  </w:font>
  <w:font w:name="Overpas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6774"/>
    <w:multiLevelType w:val="hybridMultilevel"/>
    <w:tmpl w:val="52480862"/>
    <w:lvl w:ilvl="0" w:tplc="0E3C6A3A">
      <w:start w:val="1"/>
      <w:numFmt w:val="bullet"/>
      <w:lvlText w:val=""/>
      <w:lvlJc w:val="left"/>
      <w:pPr>
        <w:ind w:left="400" w:hanging="360"/>
      </w:pPr>
      <w:rPr>
        <w:rFonts w:ascii="Symbol" w:hAnsi="Symbol"/>
      </w:rPr>
    </w:lvl>
    <w:lvl w:ilvl="1" w:tplc="9C201AE4">
      <w:start w:val="1"/>
      <w:numFmt w:val="bullet"/>
      <w:lvlText w:val="o"/>
      <w:lvlJc w:val="left"/>
      <w:pPr>
        <w:ind w:left="800" w:hanging="360"/>
      </w:pPr>
      <w:rPr>
        <w:rFonts w:ascii="Courier New" w:hAnsi="Courier New"/>
      </w:rPr>
    </w:lvl>
    <w:lvl w:ilvl="2" w:tplc="F6A6DC1A">
      <w:start w:val="1"/>
      <w:numFmt w:val="bullet"/>
      <w:lvlText w:val=""/>
      <w:lvlJc w:val="left"/>
      <w:pPr>
        <w:ind w:left="1200" w:hanging="360"/>
      </w:pPr>
      <w:rPr>
        <w:rFonts w:ascii="Wingdings" w:hAnsi="Wingdings"/>
      </w:rPr>
    </w:lvl>
    <w:lvl w:ilvl="3" w:tplc="5686EE74">
      <w:start w:val="1"/>
      <w:numFmt w:val="bullet"/>
      <w:lvlText w:val=""/>
      <w:lvlJc w:val="left"/>
      <w:pPr>
        <w:ind w:left="1600" w:hanging="360"/>
      </w:pPr>
      <w:rPr>
        <w:rFonts w:ascii="Symbol" w:hAnsi="Symbol"/>
      </w:rPr>
    </w:lvl>
    <w:lvl w:ilvl="4" w:tplc="5A225134">
      <w:start w:val="1"/>
      <w:numFmt w:val="bullet"/>
      <w:lvlText w:val="o"/>
      <w:lvlJc w:val="left"/>
      <w:pPr>
        <w:ind w:left="2000" w:hanging="360"/>
      </w:pPr>
      <w:rPr>
        <w:rFonts w:ascii="Courier New" w:hAnsi="Courier New"/>
      </w:rPr>
    </w:lvl>
    <w:lvl w:ilvl="5" w:tplc="890E69D6">
      <w:start w:val="1"/>
      <w:numFmt w:val="bullet"/>
      <w:lvlText w:val=""/>
      <w:lvlJc w:val="left"/>
      <w:pPr>
        <w:ind w:left="2400" w:hanging="360"/>
      </w:pPr>
      <w:rPr>
        <w:rFonts w:ascii="Wingdings" w:hAnsi="Wingdings"/>
      </w:rPr>
    </w:lvl>
    <w:lvl w:ilvl="6" w:tplc="9062A6FC">
      <w:start w:val="1"/>
      <w:numFmt w:val="bullet"/>
      <w:lvlText w:val=""/>
      <w:lvlJc w:val="left"/>
      <w:pPr>
        <w:ind w:left="2800" w:hanging="360"/>
      </w:pPr>
      <w:rPr>
        <w:rFonts w:ascii="Symbol" w:hAnsi="Symbol"/>
      </w:rPr>
    </w:lvl>
    <w:lvl w:ilvl="7" w:tplc="8BAEFA32">
      <w:start w:val="1"/>
      <w:numFmt w:val="bullet"/>
      <w:lvlText w:val="o"/>
      <w:lvlJc w:val="left"/>
      <w:pPr>
        <w:ind w:left="3200" w:hanging="360"/>
      </w:pPr>
      <w:rPr>
        <w:rFonts w:ascii="Courier New" w:hAnsi="Courier New"/>
      </w:rPr>
    </w:lvl>
    <w:lvl w:ilvl="8" w:tplc="04BAB2F0">
      <w:numFmt w:val="decimal"/>
      <w:lvlText w:val=""/>
      <w:lvlJc w:val="left"/>
    </w:lvl>
  </w:abstractNum>
  <w:abstractNum w:abstractNumId="1" w15:restartNumberingAfterBreak="0">
    <w:nsid w:val="34887C8B"/>
    <w:multiLevelType w:val="hybridMultilevel"/>
    <w:tmpl w:val="88800AC8"/>
    <w:lvl w:ilvl="0" w:tplc="F64EBCFC">
      <w:start w:val="1"/>
      <w:numFmt w:val="bullet"/>
      <w:lvlText w:val=""/>
      <w:lvlJc w:val="left"/>
      <w:pPr>
        <w:ind w:left="400" w:hanging="360"/>
      </w:pPr>
      <w:rPr>
        <w:rFonts w:ascii="Symbol" w:hAnsi="Symbol"/>
      </w:rPr>
    </w:lvl>
    <w:lvl w:ilvl="1" w:tplc="B07AAFCC">
      <w:start w:val="1"/>
      <w:numFmt w:val="bullet"/>
      <w:lvlText w:val="o"/>
      <w:lvlJc w:val="left"/>
      <w:pPr>
        <w:ind w:left="800" w:hanging="360"/>
      </w:pPr>
      <w:rPr>
        <w:rFonts w:ascii="Courier New" w:hAnsi="Courier New"/>
      </w:rPr>
    </w:lvl>
    <w:lvl w:ilvl="2" w:tplc="B210B1B6">
      <w:start w:val="1"/>
      <w:numFmt w:val="bullet"/>
      <w:lvlText w:val=""/>
      <w:lvlJc w:val="left"/>
      <w:pPr>
        <w:ind w:left="1200" w:hanging="360"/>
      </w:pPr>
      <w:rPr>
        <w:rFonts w:ascii="Wingdings" w:hAnsi="Wingdings"/>
      </w:rPr>
    </w:lvl>
    <w:lvl w:ilvl="3" w:tplc="2CCAAE4C">
      <w:start w:val="1"/>
      <w:numFmt w:val="bullet"/>
      <w:lvlText w:val=""/>
      <w:lvlJc w:val="left"/>
      <w:pPr>
        <w:ind w:left="1600" w:hanging="360"/>
      </w:pPr>
      <w:rPr>
        <w:rFonts w:ascii="Symbol" w:hAnsi="Symbol"/>
      </w:rPr>
    </w:lvl>
    <w:lvl w:ilvl="4" w:tplc="34EE1B14">
      <w:start w:val="1"/>
      <w:numFmt w:val="bullet"/>
      <w:lvlText w:val="o"/>
      <w:lvlJc w:val="left"/>
      <w:pPr>
        <w:ind w:left="2000" w:hanging="360"/>
      </w:pPr>
      <w:rPr>
        <w:rFonts w:ascii="Courier New" w:hAnsi="Courier New"/>
      </w:rPr>
    </w:lvl>
    <w:lvl w:ilvl="5" w:tplc="11821968">
      <w:start w:val="1"/>
      <w:numFmt w:val="bullet"/>
      <w:lvlText w:val=""/>
      <w:lvlJc w:val="left"/>
      <w:pPr>
        <w:ind w:left="2400" w:hanging="360"/>
      </w:pPr>
      <w:rPr>
        <w:rFonts w:ascii="Wingdings" w:hAnsi="Wingdings"/>
      </w:rPr>
    </w:lvl>
    <w:lvl w:ilvl="6" w:tplc="005070DC">
      <w:start w:val="1"/>
      <w:numFmt w:val="bullet"/>
      <w:lvlText w:val=""/>
      <w:lvlJc w:val="left"/>
      <w:pPr>
        <w:ind w:left="2800" w:hanging="360"/>
      </w:pPr>
      <w:rPr>
        <w:rFonts w:ascii="Symbol" w:hAnsi="Symbol"/>
      </w:rPr>
    </w:lvl>
    <w:lvl w:ilvl="7" w:tplc="07E64128">
      <w:start w:val="1"/>
      <w:numFmt w:val="bullet"/>
      <w:lvlText w:val="o"/>
      <w:lvlJc w:val="left"/>
      <w:pPr>
        <w:ind w:left="3200" w:hanging="360"/>
      </w:pPr>
      <w:rPr>
        <w:rFonts w:ascii="Courier New" w:hAnsi="Courier New"/>
      </w:rPr>
    </w:lvl>
    <w:lvl w:ilvl="8" w:tplc="162277B8">
      <w:numFmt w:val="decimal"/>
      <w:lvlText w:val=""/>
      <w:lvlJc w:val="left"/>
    </w:lvl>
  </w:abstractNum>
  <w:num w:numId="1" w16cid:durableId="1347633785">
    <w:abstractNumId w:val="1"/>
  </w:num>
  <w:num w:numId="2" w16cid:durableId="188791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60"/>
    <w:rsid w:val="00003E60"/>
    <w:rsid w:val="0004759A"/>
    <w:rsid w:val="00060750"/>
    <w:rsid w:val="00071695"/>
    <w:rsid w:val="000E7357"/>
    <w:rsid w:val="00101269"/>
    <w:rsid w:val="001030BD"/>
    <w:rsid w:val="00106065"/>
    <w:rsid w:val="001115C3"/>
    <w:rsid w:val="00140791"/>
    <w:rsid w:val="0015750B"/>
    <w:rsid w:val="0016733D"/>
    <w:rsid w:val="001C3E6A"/>
    <w:rsid w:val="001F03E0"/>
    <w:rsid w:val="00211B72"/>
    <w:rsid w:val="002169B0"/>
    <w:rsid w:val="002A03B4"/>
    <w:rsid w:val="002C3B70"/>
    <w:rsid w:val="002D2753"/>
    <w:rsid w:val="002D469D"/>
    <w:rsid w:val="002E490A"/>
    <w:rsid w:val="002F6081"/>
    <w:rsid w:val="00317161"/>
    <w:rsid w:val="00362DD6"/>
    <w:rsid w:val="003636B4"/>
    <w:rsid w:val="003F7BCE"/>
    <w:rsid w:val="004A6318"/>
    <w:rsid w:val="004A7C05"/>
    <w:rsid w:val="004A7F80"/>
    <w:rsid w:val="004B0584"/>
    <w:rsid w:val="004D227F"/>
    <w:rsid w:val="00526F53"/>
    <w:rsid w:val="00533ABE"/>
    <w:rsid w:val="00557AE0"/>
    <w:rsid w:val="00575C60"/>
    <w:rsid w:val="0058475D"/>
    <w:rsid w:val="00590845"/>
    <w:rsid w:val="005D1982"/>
    <w:rsid w:val="00605BD3"/>
    <w:rsid w:val="006A4479"/>
    <w:rsid w:val="006D3413"/>
    <w:rsid w:val="006E532F"/>
    <w:rsid w:val="007239F7"/>
    <w:rsid w:val="00760179"/>
    <w:rsid w:val="00793209"/>
    <w:rsid w:val="007D5AF5"/>
    <w:rsid w:val="00804D65"/>
    <w:rsid w:val="00811D35"/>
    <w:rsid w:val="00816CAA"/>
    <w:rsid w:val="00823424"/>
    <w:rsid w:val="008908B0"/>
    <w:rsid w:val="008B5510"/>
    <w:rsid w:val="008C1661"/>
    <w:rsid w:val="00902190"/>
    <w:rsid w:val="009158F5"/>
    <w:rsid w:val="009843FB"/>
    <w:rsid w:val="009D4EDE"/>
    <w:rsid w:val="009F51D9"/>
    <w:rsid w:val="00A00357"/>
    <w:rsid w:val="00A0177F"/>
    <w:rsid w:val="00A04E1E"/>
    <w:rsid w:val="00A21165"/>
    <w:rsid w:val="00A31375"/>
    <w:rsid w:val="00A50A14"/>
    <w:rsid w:val="00A514E4"/>
    <w:rsid w:val="00A557BE"/>
    <w:rsid w:val="00A80B1E"/>
    <w:rsid w:val="00A82B87"/>
    <w:rsid w:val="00AA1171"/>
    <w:rsid w:val="00AA3A1F"/>
    <w:rsid w:val="00AE067A"/>
    <w:rsid w:val="00AE16E6"/>
    <w:rsid w:val="00AE59CE"/>
    <w:rsid w:val="00AF34DC"/>
    <w:rsid w:val="00AF77BD"/>
    <w:rsid w:val="00B0345A"/>
    <w:rsid w:val="00B649F3"/>
    <w:rsid w:val="00BC6570"/>
    <w:rsid w:val="00CA4C85"/>
    <w:rsid w:val="00D31789"/>
    <w:rsid w:val="00D34D71"/>
    <w:rsid w:val="00D579D8"/>
    <w:rsid w:val="00D94E3B"/>
    <w:rsid w:val="00D95E8A"/>
    <w:rsid w:val="00DB7128"/>
    <w:rsid w:val="00DC180B"/>
    <w:rsid w:val="00DD44BF"/>
    <w:rsid w:val="00DD6BEC"/>
    <w:rsid w:val="00DE0896"/>
    <w:rsid w:val="00DE6028"/>
    <w:rsid w:val="00DF62C7"/>
    <w:rsid w:val="00E10A6E"/>
    <w:rsid w:val="00E12F35"/>
    <w:rsid w:val="00E45DD3"/>
    <w:rsid w:val="00EA009F"/>
    <w:rsid w:val="00F15375"/>
    <w:rsid w:val="00F428F5"/>
    <w:rsid w:val="00F620C6"/>
    <w:rsid w:val="00FA1C1E"/>
    <w:rsid w:val="00FA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9982"/>
  <w15:chartTrackingRefBased/>
  <w15:docId w15:val="{66564B45-80B1-944C-B3BE-0773F855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0A6E"/>
    <w:pPr>
      <w:spacing w:after="160" w:line="278" w:lineRule="auto"/>
    </w:pPr>
    <w:rPr>
      <w:rFonts w:eastAsiaTheme="minorEastAsia"/>
      <w:kern w:val="2"/>
      <w14:ligatures w14:val="standardContextual"/>
    </w:rPr>
  </w:style>
  <w:style w:type="paragraph" w:styleId="Heading1">
    <w:name w:val="heading 1"/>
    <w:basedOn w:val="Normal"/>
    <w:next w:val="Normal"/>
    <w:link w:val="Heading1Char"/>
    <w:uiPriority w:val="9"/>
    <w:qFormat/>
    <w:rsid w:val="00575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60"/>
    <w:rPr>
      <w:rFonts w:eastAsiaTheme="majorEastAsia" w:cstheme="majorBidi"/>
      <w:color w:val="272727" w:themeColor="text1" w:themeTint="D8"/>
    </w:rPr>
  </w:style>
  <w:style w:type="paragraph" w:styleId="Title">
    <w:name w:val="Title"/>
    <w:basedOn w:val="Normal"/>
    <w:next w:val="Normal"/>
    <w:link w:val="TitleChar"/>
    <w:uiPriority w:val="10"/>
    <w:qFormat/>
    <w:rsid w:val="00575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60"/>
    <w:pPr>
      <w:spacing w:before="160"/>
      <w:jc w:val="center"/>
    </w:pPr>
    <w:rPr>
      <w:i/>
      <w:iCs/>
      <w:color w:val="404040" w:themeColor="text1" w:themeTint="BF"/>
    </w:rPr>
  </w:style>
  <w:style w:type="character" w:customStyle="1" w:styleId="QuoteChar">
    <w:name w:val="Quote Char"/>
    <w:basedOn w:val="DefaultParagraphFont"/>
    <w:link w:val="Quote"/>
    <w:uiPriority w:val="29"/>
    <w:rsid w:val="00575C60"/>
    <w:rPr>
      <w:i/>
      <w:iCs/>
      <w:color w:val="404040" w:themeColor="text1" w:themeTint="BF"/>
    </w:rPr>
  </w:style>
  <w:style w:type="paragraph" w:styleId="ListParagraph">
    <w:name w:val="List Paragraph"/>
    <w:basedOn w:val="Normal"/>
    <w:uiPriority w:val="34"/>
    <w:qFormat/>
    <w:rsid w:val="00575C60"/>
    <w:pPr>
      <w:ind w:left="720"/>
      <w:contextualSpacing/>
    </w:pPr>
  </w:style>
  <w:style w:type="character" w:styleId="IntenseEmphasis">
    <w:name w:val="Intense Emphasis"/>
    <w:basedOn w:val="DefaultParagraphFont"/>
    <w:uiPriority w:val="21"/>
    <w:qFormat/>
    <w:rsid w:val="00575C60"/>
    <w:rPr>
      <w:i/>
      <w:iCs/>
      <w:color w:val="0F4761" w:themeColor="accent1" w:themeShade="BF"/>
    </w:rPr>
  </w:style>
  <w:style w:type="paragraph" w:styleId="IntenseQuote">
    <w:name w:val="Intense Quote"/>
    <w:basedOn w:val="Normal"/>
    <w:next w:val="Normal"/>
    <w:link w:val="IntenseQuoteChar"/>
    <w:uiPriority w:val="30"/>
    <w:qFormat/>
    <w:rsid w:val="00575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60"/>
    <w:rPr>
      <w:i/>
      <w:iCs/>
      <w:color w:val="0F4761" w:themeColor="accent1" w:themeShade="BF"/>
    </w:rPr>
  </w:style>
  <w:style w:type="character" w:styleId="IntenseReference">
    <w:name w:val="Intense Reference"/>
    <w:basedOn w:val="DefaultParagraphFont"/>
    <w:uiPriority w:val="32"/>
    <w:qFormat/>
    <w:rsid w:val="00575C60"/>
    <w:rPr>
      <w:b/>
      <w:bCs/>
      <w:smallCaps/>
      <w:color w:val="0F4761" w:themeColor="accent1" w:themeShade="BF"/>
      <w:spacing w:val="5"/>
    </w:rPr>
  </w:style>
  <w:style w:type="character" w:styleId="Hyperlink">
    <w:name w:val="Hyperlink"/>
    <w:basedOn w:val="DefaultParagraphFont"/>
    <w:uiPriority w:val="99"/>
    <w:unhideWhenUsed/>
    <w:rsid w:val="002A03B4"/>
    <w:rPr>
      <w:color w:val="467886" w:themeColor="hyperlink"/>
      <w:u w:val="single"/>
    </w:rPr>
  </w:style>
  <w:style w:type="character" w:styleId="UnresolvedMention">
    <w:name w:val="Unresolved Mention"/>
    <w:basedOn w:val="DefaultParagraphFont"/>
    <w:uiPriority w:val="99"/>
    <w:rsid w:val="002A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leadership-strategies.html" TargetMode="External"/><Relationship Id="rId3" Type="http://schemas.openxmlformats.org/officeDocument/2006/relationships/settings" Target="settings.xml"/><Relationship Id="rId7" Type="http://schemas.openxmlformats.org/officeDocument/2006/relationships/hyperlink" Target="mailto:rebekah.cummings@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Cummings</dc:creator>
  <cp:keywords/>
  <dc:description/>
  <cp:lastModifiedBy>Peterson,Jennifer</cp:lastModifiedBy>
  <cp:revision>2</cp:revision>
  <dcterms:created xsi:type="dcterms:W3CDTF">2024-04-24T17:45:00Z</dcterms:created>
  <dcterms:modified xsi:type="dcterms:W3CDTF">2024-04-24T17:45:00Z</dcterms:modified>
</cp:coreProperties>
</file>