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BDAC" w14:textId="77777777" w:rsidR="00C92B43" w:rsidRDefault="00C92B43" w:rsidP="00ED4779">
      <w:pPr>
        <w:spacing w:line="240" w:lineRule="auto"/>
        <w:contextualSpacing/>
        <w:rPr>
          <w:b/>
          <w:bCs/>
          <w:color w:val="008DCF"/>
          <w:sz w:val="32"/>
          <w:szCs w:val="32"/>
        </w:rPr>
      </w:pPr>
      <w:proofErr w:type="spellStart"/>
      <w:r w:rsidRPr="00C92B43">
        <w:rPr>
          <w:b/>
          <w:bCs/>
          <w:color w:val="008DCF"/>
          <w:sz w:val="32"/>
          <w:szCs w:val="32"/>
        </w:rPr>
        <w:t>Grantseeking</w:t>
      </w:r>
      <w:proofErr w:type="spellEnd"/>
      <w:r w:rsidRPr="00C92B43">
        <w:rPr>
          <w:b/>
          <w:bCs/>
          <w:color w:val="008DCF"/>
          <w:sz w:val="32"/>
          <w:szCs w:val="32"/>
        </w:rPr>
        <w:t xml:space="preserve"> for Libraries: Strategies and Tips</w:t>
      </w:r>
    </w:p>
    <w:p w14:paraId="2D0BEAB8" w14:textId="38DB5A42" w:rsidR="00ED4779" w:rsidRDefault="00000000" w:rsidP="00ED4779">
      <w:pPr>
        <w:spacing w:line="240" w:lineRule="auto"/>
        <w:contextualSpacing/>
      </w:pPr>
      <w:hyperlink r:id="rId9" w:history="1">
        <w:r w:rsidR="00C92B43" w:rsidRPr="000E4F8B">
          <w:rPr>
            <w:rStyle w:val="Hyperlink"/>
          </w:rPr>
          <w:t>https://www.webjunction.org/events/webjunction/grantseeking-for-libraries-strategies-and-tips.html</w:t>
        </w:r>
      </w:hyperlink>
    </w:p>
    <w:p w14:paraId="39964631" w14:textId="77777777" w:rsidR="00C92B43" w:rsidRDefault="00C92B43" w:rsidP="00ED4779">
      <w:pPr>
        <w:spacing w:line="240" w:lineRule="auto"/>
        <w:contextualSpacing/>
        <w:rPr>
          <w:rFonts w:asciiTheme="minorHAnsi" w:eastAsia="Times New Roman" w:hAnsiTheme="minorHAnsi" w:cstheme="minorHAnsi"/>
        </w:rPr>
      </w:pPr>
    </w:p>
    <w:p w14:paraId="5648BD50" w14:textId="539087E6" w:rsidR="00ED4779" w:rsidRDefault="00C92B43" w:rsidP="00ED4779">
      <w:pPr>
        <w:spacing w:line="240" w:lineRule="auto"/>
        <w:contextualSpacing/>
        <w:rPr>
          <w:rFonts w:asciiTheme="minorHAnsi" w:eastAsia="Times New Roman" w:hAnsiTheme="minorHAnsi" w:cstheme="minorHAnsi"/>
        </w:rPr>
      </w:pPr>
      <w:r w:rsidRPr="00C92B43">
        <w:rPr>
          <w:rFonts w:asciiTheme="minorHAnsi" w:eastAsia="Times New Roman" w:hAnsiTheme="minorHAnsi" w:cstheme="minorHAnsi"/>
        </w:rPr>
        <w:t xml:space="preserve">Grant funding </w:t>
      </w:r>
      <w:r w:rsidR="005511D0">
        <w:rPr>
          <w:rFonts w:asciiTheme="minorHAnsi" w:eastAsia="Times New Roman" w:hAnsiTheme="minorHAnsi" w:cstheme="minorHAnsi"/>
        </w:rPr>
        <w:t>can provide</w:t>
      </w:r>
      <w:r w:rsidR="005511D0" w:rsidRPr="00C92B43">
        <w:rPr>
          <w:rFonts w:asciiTheme="minorHAnsi" w:eastAsia="Times New Roman" w:hAnsiTheme="minorHAnsi" w:cstheme="minorHAnsi"/>
        </w:rPr>
        <w:t xml:space="preserve"> </w:t>
      </w:r>
      <w:r w:rsidR="005511D0">
        <w:rPr>
          <w:rFonts w:asciiTheme="minorHAnsi" w:eastAsia="Times New Roman" w:hAnsiTheme="minorHAnsi" w:cstheme="minorHAnsi"/>
        </w:rPr>
        <w:t>your library</w:t>
      </w:r>
      <w:r w:rsidR="005511D0" w:rsidRPr="00C92B43">
        <w:rPr>
          <w:rFonts w:asciiTheme="minorHAnsi" w:eastAsia="Times New Roman" w:hAnsiTheme="minorHAnsi" w:cstheme="minorHAnsi"/>
        </w:rPr>
        <w:t xml:space="preserve"> </w:t>
      </w:r>
      <w:r w:rsidRPr="00C92B43">
        <w:rPr>
          <w:rFonts w:asciiTheme="minorHAnsi" w:eastAsia="Times New Roman" w:hAnsiTheme="minorHAnsi" w:cstheme="minorHAnsi"/>
        </w:rPr>
        <w:t xml:space="preserve">with the opportunity to offer programs and services to the community which may not fit into the library’s regular budget. If the process of evaluating opportunities and applying for a grant feels overwhelming, </w:t>
      </w:r>
      <w:r w:rsidR="005511D0">
        <w:rPr>
          <w:rFonts w:asciiTheme="minorHAnsi" w:eastAsia="Times New Roman" w:hAnsiTheme="minorHAnsi" w:cstheme="minorHAnsi"/>
        </w:rPr>
        <w:t>consider using one or more of the</w:t>
      </w:r>
      <w:r w:rsidRPr="00C92B43">
        <w:rPr>
          <w:rFonts w:asciiTheme="minorHAnsi" w:eastAsia="Times New Roman" w:hAnsiTheme="minorHAnsi" w:cstheme="minorHAnsi"/>
        </w:rPr>
        <w:t xml:space="preserve"> strategies for success that </w:t>
      </w:r>
      <w:r w:rsidR="005511D0">
        <w:rPr>
          <w:rFonts w:asciiTheme="minorHAnsi" w:eastAsia="Times New Roman" w:hAnsiTheme="minorHAnsi" w:cstheme="minorHAnsi"/>
        </w:rPr>
        <w:t>have been covered in the webinar</w:t>
      </w:r>
      <w:r w:rsidRPr="00C92B43">
        <w:rPr>
          <w:rFonts w:asciiTheme="minorHAnsi" w:eastAsia="Times New Roman" w:hAnsiTheme="minorHAnsi" w:cstheme="minorHAnsi"/>
        </w:rPr>
        <w:t xml:space="preserve">. </w:t>
      </w:r>
      <w:r w:rsidR="005511D0">
        <w:rPr>
          <w:rFonts w:asciiTheme="minorHAnsi" w:eastAsia="Times New Roman" w:hAnsiTheme="minorHAnsi" w:cstheme="minorHAnsi"/>
        </w:rPr>
        <w:t>Remember, f</w:t>
      </w:r>
      <w:r w:rsidRPr="00C92B43">
        <w:rPr>
          <w:rFonts w:asciiTheme="minorHAnsi" w:eastAsia="Times New Roman" w:hAnsiTheme="minorHAnsi" w:cstheme="minorHAnsi"/>
        </w:rPr>
        <w:t>unders are often interested in a diverse set of applicants and communities to distribute their funding to</w:t>
      </w:r>
      <w:r w:rsidR="005511D0">
        <w:rPr>
          <w:rFonts w:asciiTheme="minorHAnsi" w:eastAsia="Times New Roman" w:hAnsiTheme="minorHAnsi" w:cstheme="minorHAnsi"/>
        </w:rPr>
        <w:t>, and using the approaches and tips covered in the webinar may</w:t>
      </w:r>
      <w:r w:rsidRPr="00C92B43">
        <w:rPr>
          <w:rFonts w:asciiTheme="minorHAnsi" w:eastAsia="Times New Roman" w:hAnsiTheme="minorHAnsi" w:cstheme="minorHAnsi"/>
        </w:rPr>
        <w:t xml:space="preserve"> help you feel more confident and empowered to pursue these opportunities for your library.</w:t>
      </w:r>
    </w:p>
    <w:p w14:paraId="2E8A6C99" w14:textId="77777777" w:rsidR="00C92B43" w:rsidRPr="00ED4779" w:rsidRDefault="00C92B43" w:rsidP="00ED4779">
      <w:pPr>
        <w:spacing w:line="240" w:lineRule="auto"/>
        <w:contextualSpacing/>
        <w:rPr>
          <w:rFonts w:asciiTheme="minorHAnsi" w:eastAsia="Times New Roman" w:hAnsiTheme="minorHAnsi" w:cstheme="minorHAnsi"/>
        </w:rPr>
      </w:pPr>
    </w:p>
    <w:p w14:paraId="1F14A112" w14:textId="43B422C2" w:rsidR="00E6622D" w:rsidRPr="00161945" w:rsidRDefault="00ED4779" w:rsidP="00ED4779">
      <w:pPr>
        <w:spacing w:line="240" w:lineRule="auto"/>
        <w:rPr>
          <w:rFonts w:asciiTheme="minorHAnsi" w:hAnsiTheme="minorHAnsi" w:cstheme="minorHAnsi"/>
          <w:color w:val="000000"/>
        </w:rPr>
      </w:pPr>
      <w:r w:rsidRPr="00ED4779">
        <w:rPr>
          <w:rFonts w:asciiTheme="minorHAnsi" w:eastAsia="Times New Roman" w:hAnsiTheme="minorHAnsi" w:cstheme="minorHAnsi"/>
        </w:rPr>
        <w:t xml:space="preserve">Presented by: </w:t>
      </w:r>
      <w:r w:rsidR="00C92B43">
        <w:rPr>
          <w:rFonts w:asciiTheme="minorHAnsi" w:eastAsia="Times New Roman" w:hAnsiTheme="minorHAnsi" w:cstheme="minorHAnsi"/>
        </w:rPr>
        <w:t>Kendra Morgan and Steph Harmon, WebJunction</w:t>
      </w:r>
    </w:p>
    <w:tbl>
      <w:tblPr>
        <w:tblStyle w:val="a1"/>
        <w:tblW w:w="963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3"/>
        <w:gridCol w:w="8017"/>
      </w:tblGrid>
      <w:tr w:rsidR="00E6622D" w14:paraId="7C5145AC" w14:textId="77777777" w:rsidTr="06D3C2A9">
        <w:trPr>
          <w:trHeight w:val="503"/>
        </w:trPr>
        <w:tc>
          <w:tcPr>
            <w:tcW w:w="9630" w:type="dxa"/>
            <w:gridSpan w:val="2"/>
            <w:shd w:val="clear" w:color="auto" w:fill="008DCF"/>
            <w:vAlign w:val="center"/>
          </w:tcPr>
          <w:p w14:paraId="7573F37F" w14:textId="77777777" w:rsidR="00E6622D" w:rsidRDefault="00B365CD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What are your goals for viewing this webinar?</w:t>
            </w:r>
          </w:p>
        </w:tc>
      </w:tr>
      <w:tr w:rsidR="00E6622D" w14:paraId="440E94A2" w14:textId="77777777" w:rsidTr="06D3C2A9">
        <w:trPr>
          <w:trHeight w:val="746"/>
        </w:trPr>
        <w:tc>
          <w:tcPr>
            <w:tcW w:w="1613" w:type="dxa"/>
            <w:shd w:val="clear" w:color="auto" w:fill="97DFFF"/>
            <w:vAlign w:val="center"/>
          </w:tcPr>
          <w:p w14:paraId="54EABF1C" w14:textId="77777777" w:rsidR="00E6622D" w:rsidRDefault="00B365CD">
            <w:pPr>
              <w:rPr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Personal Goals</w:t>
            </w:r>
          </w:p>
        </w:tc>
        <w:tc>
          <w:tcPr>
            <w:tcW w:w="8017" w:type="dxa"/>
            <w:vAlign w:val="center"/>
          </w:tcPr>
          <w:p w14:paraId="4CB2771A" w14:textId="77777777" w:rsidR="00E6622D" w:rsidRDefault="00E6622D">
            <w:pPr>
              <w:rPr>
                <w:sz w:val="24"/>
                <w:szCs w:val="24"/>
              </w:rPr>
            </w:pPr>
          </w:p>
          <w:p w14:paraId="759009CB" w14:textId="77777777" w:rsidR="00E6622D" w:rsidRDefault="00E6622D">
            <w:pPr>
              <w:rPr>
                <w:sz w:val="24"/>
                <w:szCs w:val="24"/>
              </w:rPr>
            </w:pPr>
          </w:p>
          <w:p w14:paraId="31D4996C" w14:textId="77777777" w:rsidR="00E6622D" w:rsidRDefault="00E6622D">
            <w:pPr>
              <w:rPr>
                <w:sz w:val="24"/>
                <w:szCs w:val="24"/>
              </w:rPr>
            </w:pPr>
          </w:p>
        </w:tc>
      </w:tr>
      <w:tr w:rsidR="00E6622D" w14:paraId="6295E096" w14:textId="77777777" w:rsidTr="06D3C2A9">
        <w:trPr>
          <w:trHeight w:val="764"/>
        </w:trPr>
        <w:tc>
          <w:tcPr>
            <w:tcW w:w="1613" w:type="dxa"/>
            <w:shd w:val="clear" w:color="auto" w:fill="97DFFF"/>
            <w:vAlign w:val="center"/>
          </w:tcPr>
          <w:p w14:paraId="7E68E0DE" w14:textId="77777777" w:rsidR="00E6622D" w:rsidRDefault="00B365CD">
            <w:pPr>
              <w:rPr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Team Goals</w:t>
            </w:r>
          </w:p>
        </w:tc>
        <w:tc>
          <w:tcPr>
            <w:tcW w:w="8017" w:type="dxa"/>
            <w:vAlign w:val="center"/>
          </w:tcPr>
          <w:p w14:paraId="18879292" w14:textId="77777777" w:rsidR="00E6622D" w:rsidRDefault="00E6622D">
            <w:pPr>
              <w:rPr>
                <w:sz w:val="24"/>
                <w:szCs w:val="24"/>
              </w:rPr>
            </w:pPr>
          </w:p>
          <w:p w14:paraId="240EB080" w14:textId="77777777" w:rsidR="00E6622D" w:rsidRDefault="00E6622D">
            <w:pPr>
              <w:rPr>
                <w:sz w:val="24"/>
                <w:szCs w:val="24"/>
              </w:rPr>
            </w:pPr>
          </w:p>
        </w:tc>
      </w:tr>
      <w:tr w:rsidR="00E6622D" w14:paraId="64A4A4D7" w14:textId="77777777" w:rsidTr="06D3C2A9">
        <w:trPr>
          <w:trHeight w:val="476"/>
        </w:trPr>
        <w:tc>
          <w:tcPr>
            <w:tcW w:w="9630" w:type="dxa"/>
            <w:gridSpan w:val="2"/>
            <w:shd w:val="clear" w:color="auto" w:fill="008DCF"/>
            <w:vAlign w:val="center"/>
          </w:tcPr>
          <w:p w14:paraId="2AD5BC46" w14:textId="6DF2A581" w:rsidR="00E6622D" w:rsidRPr="00596241" w:rsidRDefault="00596241" w:rsidP="00596241">
            <w:pPr>
              <w:rPr>
                <w:b/>
                <w:color w:val="FFFFFF"/>
                <w:sz w:val="24"/>
                <w:szCs w:val="24"/>
              </w:rPr>
            </w:pPr>
            <w:r w:rsidRPr="00596241">
              <w:rPr>
                <w:b/>
                <w:color w:val="FFFFFF"/>
                <w:sz w:val="24"/>
                <w:szCs w:val="24"/>
              </w:rPr>
              <w:t>Seek and evaluate grant opportunities</w:t>
            </w:r>
          </w:p>
        </w:tc>
      </w:tr>
      <w:tr w:rsidR="00E6622D" w14:paraId="36B449D5" w14:textId="77777777" w:rsidTr="06D3C2A9">
        <w:trPr>
          <w:trHeight w:val="1158"/>
        </w:trPr>
        <w:tc>
          <w:tcPr>
            <w:tcW w:w="9630" w:type="dxa"/>
            <w:gridSpan w:val="2"/>
            <w:shd w:val="clear" w:color="auto" w:fill="FFFFFF" w:themeFill="background1"/>
            <w:vAlign w:val="center"/>
          </w:tcPr>
          <w:p w14:paraId="6F448B2A" w14:textId="77777777" w:rsidR="00A36759" w:rsidRDefault="00A36759" w:rsidP="00A3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8C758A7" w14:textId="77777777" w:rsidR="00A36759" w:rsidRDefault="00775102" w:rsidP="00A3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While you may receive notices about grant opportunities through various channels and networks, </w:t>
            </w:r>
            <w:r w:rsidRPr="00775102">
              <w:rPr>
                <w:b/>
                <w:bCs/>
              </w:rPr>
              <w:t>researching</w:t>
            </w:r>
            <w:r>
              <w:t xml:space="preserve"> opportunities is key to successful </w:t>
            </w:r>
            <w:proofErr w:type="spellStart"/>
            <w:r>
              <w:t>grantseeking</w:t>
            </w:r>
            <w:proofErr w:type="spellEnd"/>
            <w:r>
              <w:t>.</w:t>
            </w:r>
            <w:r w:rsidR="00A36759">
              <w:t xml:space="preserve"> Candid’s </w:t>
            </w:r>
            <w:hyperlink r:id="rId10" w:history="1">
              <w:r w:rsidR="00A36759">
                <w:rPr>
                  <w:rStyle w:val="Hyperlink"/>
                </w:rPr>
                <w:t>Visualizing Funding for Libraries</w:t>
              </w:r>
            </w:hyperlink>
            <w:r w:rsidR="00A36759">
              <w:t xml:space="preserve"> data tool can help you learn about different foundations’ interests, priorities, and even the size of the grants they have awarded. </w:t>
            </w:r>
          </w:p>
          <w:p w14:paraId="41ACCD62" w14:textId="76BBB73B" w:rsidR="00A36759" w:rsidRDefault="00A36759" w:rsidP="00A3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A713737" w14:textId="59BA0456" w:rsidR="00A36759" w:rsidRDefault="00A36759" w:rsidP="00A3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04533B4" w14:textId="09DD5FC7" w:rsidR="008E1B16" w:rsidRDefault="008E1B16" w:rsidP="00A3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CB0118A" w14:textId="77777777" w:rsidR="008E1B16" w:rsidRDefault="008E1B16" w:rsidP="00A3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0C541BD" w14:textId="77777777" w:rsidR="00A36759" w:rsidRDefault="00A36759" w:rsidP="00A3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FB72F07" w14:textId="43E484C0" w:rsidR="00A36759" w:rsidRDefault="00A36759" w:rsidP="00A3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Research which foundations provide funding in your geographic area</w:t>
            </w:r>
            <w:r w:rsidR="005511D0">
              <w:t>. Find out which funders support</w:t>
            </w:r>
            <w:r>
              <w:t xml:space="preserve"> the kinds of programs you might be interested in </w:t>
            </w:r>
            <w:r w:rsidR="005511D0">
              <w:t xml:space="preserve">getting funding for </w:t>
            </w:r>
            <w:r>
              <w:t>(</w:t>
            </w:r>
            <w:r w:rsidR="009729C3">
              <w:t>such as</w:t>
            </w:r>
            <w:r w:rsidR="005511D0">
              <w:t xml:space="preserve"> </w:t>
            </w:r>
            <w:r>
              <w:t>summer learning programs), or for the populations you serve (</w:t>
            </w:r>
            <w:r w:rsidR="009729C3">
              <w:t xml:space="preserve">such as </w:t>
            </w:r>
            <w:r>
              <w:t xml:space="preserve">jobseekers or small business owners). </w:t>
            </w:r>
            <w:r w:rsidR="005511D0">
              <w:t>Your</w:t>
            </w:r>
            <w:r w:rsidR="009729C3">
              <w:t xml:space="preserve"> library’s strategic plan can be one resource to review when looking at potential alignment between</w:t>
            </w:r>
            <w:r w:rsidR="005511D0">
              <w:t xml:space="preserve"> funding</w:t>
            </w:r>
            <w:r w:rsidR="009729C3">
              <w:t xml:space="preserve"> opportunities</w:t>
            </w:r>
            <w:r w:rsidR="005511D0">
              <w:t xml:space="preserve"> that are out there</w:t>
            </w:r>
            <w:r w:rsidR="009729C3">
              <w:t xml:space="preserve"> and </w:t>
            </w:r>
            <w:r w:rsidR="005511D0">
              <w:t xml:space="preserve">your community’s and library’s </w:t>
            </w:r>
            <w:r w:rsidR="009729C3">
              <w:t>needs.</w:t>
            </w:r>
          </w:p>
          <w:p w14:paraId="33FB5FF9" w14:textId="599D901B" w:rsidR="00A36759" w:rsidRDefault="00A36759" w:rsidP="00A3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CAE45C3" w14:textId="14B6F72D" w:rsidR="008E1B16" w:rsidRDefault="008E1B16" w:rsidP="00A3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A3528B4" w14:textId="77777777" w:rsidR="008E1B16" w:rsidRDefault="008E1B16" w:rsidP="00A3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5502B4F" w14:textId="74BFB8B7" w:rsidR="00A36759" w:rsidRDefault="00A36759" w:rsidP="00A3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A1E4667" w14:textId="77777777" w:rsidR="008E1B16" w:rsidRDefault="008E1B16" w:rsidP="00A3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B2432C0" w14:textId="77777777" w:rsidR="00A36759" w:rsidRDefault="00A36759" w:rsidP="00A3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7F347B4" w14:textId="4B8F21CB" w:rsidR="006547F0" w:rsidRDefault="00A36759" w:rsidP="00393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See additional resources collected in WebJunction’s </w:t>
            </w:r>
            <w:hyperlink r:id="rId11" w:history="1">
              <w:r w:rsidRPr="00A36759">
                <w:rPr>
                  <w:rStyle w:val="Hyperlink"/>
                </w:rPr>
                <w:t>Budgets and Funding</w:t>
              </w:r>
            </w:hyperlink>
            <w:r>
              <w:t xml:space="preserve"> section.</w:t>
            </w:r>
          </w:p>
          <w:p w14:paraId="3AF8C58E" w14:textId="77777777" w:rsidR="00393019" w:rsidRDefault="00393019" w:rsidP="00393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293AF2E" w14:textId="7467536F" w:rsidR="008E1B16" w:rsidRPr="00E06925" w:rsidRDefault="008E1B16" w:rsidP="00393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tbl>
      <w:tblPr>
        <w:tblStyle w:val="a2"/>
        <w:tblW w:w="9653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53"/>
      </w:tblGrid>
      <w:tr w:rsidR="00E6622D" w14:paraId="177C60BE" w14:textId="77777777" w:rsidTr="7A238CEE">
        <w:trPr>
          <w:trHeight w:val="539"/>
        </w:trPr>
        <w:tc>
          <w:tcPr>
            <w:tcW w:w="9653" w:type="dxa"/>
            <w:shd w:val="clear" w:color="auto" w:fill="008DCF"/>
            <w:vAlign w:val="center"/>
          </w:tcPr>
          <w:p w14:paraId="2B73E09B" w14:textId="1D550D17" w:rsidR="00E6622D" w:rsidRPr="00596241" w:rsidRDefault="00596241" w:rsidP="00596241">
            <w:pPr>
              <w:rPr>
                <w:b/>
                <w:color w:val="FFFFFF"/>
                <w:sz w:val="24"/>
                <w:szCs w:val="24"/>
              </w:rPr>
            </w:pPr>
            <w:r w:rsidRPr="00596241">
              <w:rPr>
                <w:b/>
                <w:color w:val="FFFFFF"/>
                <w:sz w:val="24"/>
                <w:szCs w:val="24"/>
              </w:rPr>
              <w:lastRenderedPageBreak/>
              <w:t>Alignment of the library and the funder’s mission</w:t>
            </w:r>
          </w:p>
        </w:tc>
      </w:tr>
      <w:tr w:rsidR="00E6622D" w14:paraId="7BBFC72F" w14:textId="77777777" w:rsidTr="7A238CEE">
        <w:trPr>
          <w:trHeight w:val="638"/>
        </w:trPr>
        <w:tc>
          <w:tcPr>
            <w:tcW w:w="9653" w:type="dxa"/>
            <w:shd w:val="clear" w:color="auto" w:fill="auto"/>
            <w:vAlign w:val="center"/>
          </w:tcPr>
          <w:p w14:paraId="1FA0233E" w14:textId="77777777" w:rsidR="005C000D" w:rsidRDefault="005C000D" w:rsidP="00DA10BB"/>
          <w:p w14:paraId="2237F094" w14:textId="77777777" w:rsidR="008E1B16" w:rsidRDefault="005C000D" w:rsidP="00DA10BB">
            <w:r w:rsidRPr="005C000D">
              <w:t xml:space="preserve">When asking for funding, </w:t>
            </w:r>
            <w:r w:rsidR="009729C3">
              <w:t xml:space="preserve">it’s important not to frame the ask by </w:t>
            </w:r>
            <w:r w:rsidRPr="005C000D">
              <w:t>lead</w:t>
            </w:r>
            <w:r w:rsidR="009729C3">
              <w:t>ing</w:t>
            </w:r>
            <w:r w:rsidRPr="005C000D">
              <w:t xml:space="preserve"> with the needs of your library. </w:t>
            </w:r>
            <w:r w:rsidR="005511D0">
              <w:t>Instead, o</w:t>
            </w:r>
            <w:r>
              <w:t xml:space="preserve">nce you’ve selected a funder to explore, spend additional time </w:t>
            </w:r>
            <w:r w:rsidRPr="00AC40A7">
              <w:rPr>
                <w:b/>
                <w:bCs/>
              </w:rPr>
              <w:t>researching th</w:t>
            </w:r>
            <w:r w:rsidR="005511D0">
              <w:rPr>
                <w:b/>
                <w:bCs/>
              </w:rPr>
              <w:t>at</w:t>
            </w:r>
            <w:r w:rsidRPr="00AC40A7">
              <w:rPr>
                <w:b/>
                <w:bCs/>
              </w:rPr>
              <w:t xml:space="preserve"> funder’s mission</w:t>
            </w:r>
            <w:r w:rsidR="005511D0">
              <w:t xml:space="preserve"> and</w:t>
            </w:r>
            <w:r>
              <w:t xml:space="preserve"> look for alignment with</w:t>
            </w:r>
            <w:r w:rsidR="005511D0">
              <w:t xml:space="preserve"> your</w:t>
            </w:r>
            <w:r>
              <w:t xml:space="preserve"> library’s mission. </w:t>
            </w:r>
            <w:r w:rsidR="005511D0">
              <w:br/>
            </w:r>
          </w:p>
          <w:p w14:paraId="1703D686" w14:textId="43C87AB2" w:rsidR="00DA10BB" w:rsidRDefault="009729C3" w:rsidP="00DA10BB">
            <w:r>
              <w:t xml:space="preserve">As with </w:t>
            </w:r>
            <w:r w:rsidR="005C000D">
              <w:t xml:space="preserve">any kind of relationship building, understanding what’s important to the funder and finding alignment </w:t>
            </w:r>
            <w:r w:rsidR="005511D0">
              <w:t xml:space="preserve">with </w:t>
            </w:r>
            <w:r w:rsidR="005C000D">
              <w:t xml:space="preserve">your </w:t>
            </w:r>
            <w:r w:rsidR="005511D0">
              <w:t xml:space="preserve">organization’s </w:t>
            </w:r>
            <w:r w:rsidR="005C000D">
              <w:t>goals and intentions can set a solid foundation for building the story around your library’s commitment to meet the changing needs and interests of your</w:t>
            </w:r>
            <w:r w:rsidR="00DA10BB" w:rsidRPr="00DA10BB">
              <w:t xml:space="preserve"> community.</w:t>
            </w:r>
            <w:r w:rsidR="006A76CB">
              <w:t xml:space="preserve"> </w:t>
            </w:r>
            <w:r w:rsidR="005511D0">
              <w:br/>
            </w:r>
            <w:r w:rsidR="005511D0">
              <w:br/>
            </w:r>
            <w:r w:rsidR="006A76CB">
              <w:t xml:space="preserve">List key </w:t>
            </w:r>
            <w:r w:rsidR="005511D0">
              <w:t xml:space="preserve">aspects </w:t>
            </w:r>
            <w:r w:rsidR="006A76CB">
              <w:t xml:space="preserve">the funder’s mission and your library’s mission, and highlight or draw links between overlapping or related </w:t>
            </w:r>
            <w:r w:rsidR="005511D0">
              <w:t>areas</w:t>
            </w:r>
            <w:r w:rsidR="006A76CB">
              <w:t>.</w:t>
            </w:r>
          </w:p>
          <w:p w14:paraId="7D17DE45" w14:textId="77777777" w:rsidR="008E1B16" w:rsidRDefault="008E1B16" w:rsidP="00DA10BB"/>
          <w:p w14:paraId="540051AC" w14:textId="2B4A09D2" w:rsidR="005C000D" w:rsidRDefault="005C000D" w:rsidP="00DA10BB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3"/>
              <w:gridCol w:w="4714"/>
            </w:tblGrid>
            <w:tr w:rsidR="006A76CB" w14:paraId="2E83136E" w14:textId="77777777" w:rsidTr="006A76CB">
              <w:tc>
                <w:tcPr>
                  <w:tcW w:w="4713" w:type="dxa"/>
                </w:tcPr>
                <w:p w14:paraId="0303B42B" w14:textId="31A59CDA" w:rsidR="006A76CB" w:rsidRDefault="006A76CB" w:rsidP="006A76CB">
                  <w:pPr>
                    <w:jc w:val="center"/>
                  </w:pPr>
                  <w:r>
                    <w:t xml:space="preserve">Key to </w:t>
                  </w:r>
                  <w:r w:rsidR="009729C3">
                    <w:t>f</w:t>
                  </w:r>
                  <w:r>
                    <w:t>under’s mission</w:t>
                  </w:r>
                </w:p>
              </w:tc>
              <w:tc>
                <w:tcPr>
                  <w:tcW w:w="4714" w:type="dxa"/>
                </w:tcPr>
                <w:p w14:paraId="40238A72" w14:textId="397F1756" w:rsidR="006A76CB" w:rsidRDefault="006A76CB" w:rsidP="006A76CB">
                  <w:pPr>
                    <w:jc w:val="center"/>
                  </w:pPr>
                  <w:r>
                    <w:t xml:space="preserve">Key to </w:t>
                  </w:r>
                  <w:r w:rsidR="009729C3">
                    <w:t>l</w:t>
                  </w:r>
                  <w:r>
                    <w:t>ibrary’s mission</w:t>
                  </w:r>
                </w:p>
              </w:tc>
            </w:tr>
            <w:tr w:rsidR="006A76CB" w14:paraId="06E06C43" w14:textId="77777777" w:rsidTr="006A76CB">
              <w:tc>
                <w:tcPr>
                  <w:tcW w:w="4713" w:type="dxa"/>
                </w:tcPr>
                <w:p w14:paraId="758D2F89" w14:textId="2B0A2890" w:rsidR="006A76CB" w:rsidRDefault="006A76CB" w:rsidP="00DA10BB">
                  <w:r>
                    <w:t>1.</w:t>
                  </w:r>
                </w:p>
              </w:tc>
              <w:tc>
                <w:tcPr>
                  <w:tcW w:w="4714" w:type="dxa"/>
                </w:tcPr>
                <w:p w14:paraId="44658D09" w14:textId="3F6E0036" w:rsidR="006A76CB" w:rsidRDefault="006A76CB" w:rsidP="00DA10BB">
                  <w:r>
                    <w:t>1.</w:t>
                  </w:r>
                </w:p>
              </w:tc>
            </w:tr>
            <w:tr w:rsidR="006A76CB" w14:paraId="3EB1D88E" w14:textId="77777777" w:rsidTr="006A76CB">
              <w:tc>
                <w:tcPr>
                  <w:tcW w:w="4713" w:type="dxa"/>
                </w:tcPr>
                <w:p w14:paraId="4B168A38" w14:textId="77777777" w:rsidR="006A76CB" w:rsidRDefault="006A76CB" w:rsidP="00DA10BB"/>
                <w:p w14:paraId="6AA5FF95" w14:textId="32964D0C" w:rsidR="006A76CB" w:rsidRDefault="006A76CB" w:rsidP="00DA10BB"/>
              </w:tc>
              <w:tc>
                <w:tcPr>
                  <w:tcW w:w="4714" w:type="dxa"/>
                </w:tcPr>
                <w:p w14:paraId="7D4AEEA3" w14:textId="77777777" w:rsidR="006A76CB" w:rsidRDefault="006A76CB" w:rsidP="00DA10BB"/>
              </w:tc>
            </w:tr>
            <w:tr w:rsidR="006A76CB" w14:paraId="7CD6AB11" w14:textId="77777777" w:rsidTr="006A76CB">
              <w:tc>
                <w:tcPr>
                  <w:tcW w:w="4713" w:type="dxa"/>
                </w:tcPr>
                <w:p w14:paraId="47CD8472" w14:textId="30A73EAD" w:rsidR="006A76CB" w:rsidRDefault="006A76CB" w:rsidP="00DA10BB">
                  <w:r>
                    <w:t>2.</w:t>
                  </w:r>
                </w:p>
              </w:tc>
              <w:tc>
                <w:tcPr>
                  <w:tcW w:w="4714" w:type="dxa"/>
                </w:tcPr>
                <w:p w14:paraId="325EE07B" w14:textId="0E5A0426" w:rsidR="006A76CB" w:rsidRDefault="006A76CB" w:rsidP="00DA10BB">
                  <w:r>
                    <w:t>2.</w:t>
                  </w:r>
                </w:p>
              </w:tc>
            </w:tr>
            <w:tr w:rsidR="006A76CB" w14:paraId="189BDD1D" w14:textId="77777777" w:rsidTr="006A76CB">
              <w:tc>
                <w:tcPr>
                  <w:tcW w:w="4713" w:type="dxa"/>
                </w:tcPr>
                <w:p w14:paraId="27296188" w14:textId="77777777" w:rsidR="006A76CB" w:rsidRDefault="006A76CB" w:rsidP="00DA10BB"/>
                <w:p w14:paraId="526DA9F4" w14:textId="3AC15D69" w:rsidR="006A76CB" w:rsidRDefault="006A76CB" w:rsidP="00DA10BB"/>
              </w:tc>
              <w:tc>
                <w:tcPr>
                  <w:tcW w:w="4714" w:type="dxa"/>
                </w:tcPr>
                <w:p w14:paraId="541DDC5E" w14:textId="77777777" w:rsidR="006A76CB" w:rsidRDefault="006A76CB" w:rsidP="00DA10BB"/>
              </w:tc>
            </w:tr>
            <w:tr w:rsidR="006A76CB" w14:paraId="7415E295" w14:textId="77777777" w:rsidTr="006A76CB">
              <w:tc>
                <w:tcPr>
                  <w:tcW w:w="4713" w:type="dxa"/>
                </w:tcPr>
                <w:p w14:paraId="2E7E68A5" w14:textId="250AAC64" w:rsidR="006A76CB" w:rsidRDefault="006A76CB" w:rsidP="00DA10BB">
                  <w:r>
                    <w:t>3.</w:t>
                  </w:r>
                </w:p>
              </w:tc>
              <w:tc>
                <w:tcPr>
                  <w:tcW w:w="4714" w:type="dxa"/>
                </w:tcPr>
                <w:p w14:paraId="428143E1" w14:textId="61B5ED35" w:rsidR="006A76CB" w:rsidRDefault="006A76CB" w:rsidP="00DA10BB">
                  <w:r>
                    <w:t>3.</w:t>
                  </w:r>
                </w:p>
              </w:tc>
            </w:tr>
          </w:tbl>
          <w:p w14:paraId="526798DA" w14:textId="290E4135" w:rsidR="005C000D" w:rsidRPr="00DA10BB" w:rsidRDefault="005C000D" w:rsidP="00DA10BB"/>
          <w:p w14:paraId="67326941" w14:textId="17B6F494" w:rsidR="00AC40A7" w:rsidRDefault="00AC40A7"/>
          <w:p w14:paraId="60D1A0D0" w14:textId="77777777" w:rsidR="008E1B16" w:rsidRDefault="008E1B16"/>
          <w:p w14:paraId="65181A4E" w14:textId="77777777" w:rsidR="00AC40A7" w:rsidRDefault="00AC40A7"/>
          <w:p w14:paraId="7F672228" w14:textId="1DFAA702" w:rsidR="006A76CB" w:rsidRPr="00AC40A7" w:rsidRDefault="005511D0">
            <w:r>
              <w:t>Tip: Every</w:t>
            </w:r>
            <w:r w:rsidR="009729C3">
              <w:t xml:space="preserve"> </w:t>
            </w:r>
            <w:r w:rsidR="00AC40A7">
              <w:t xml:space="preserve">grant application </w:t>
            </w:r>
            <w:r w:rsidR="009729C3">
              <w:t xml:space="preserve">will need </w:t>
            </w:r>
            <w:r w:rsidR="00AC40A7">
              <w:t xml:space="preserve">to </w:t>
            </w:r>
            <w:r w:rsidR="009729C3">
              <w:t xml:space="preserve">be customized to </w:t>
            </w:r>
            <w:r>
              <w:t xml:space="preserve">each </w:t>
            </w:r>
            <w:r w:rsidR="00AC40A7">
              <w:t xml:space="preserve">funder, so </w:t>
            </w:r>
            <w:r w:rsidR="009729C3">
              <w:t xml:space="preserve">revisit </w:t>
            </w:r>
            <w:r w:rsidR="00AC40A7">
              <w:t>this step each time</w:t>
            </w:r>
            <w:r>
              <w:t>!</w:t>
            </w:r>
          </w:p>
          <w:p w14:paraId="755FEACE" w14:textId="2C34C49A" w:rsidR="006A76CB" w:rsidRDefault="006A76CB">
            <w:pPr>
              <w:rPr>
                <w:sz w:val="24"/>
                <w:szCs w:val="24"/>
              </w:rPr>
            </w:pPr>
          </w:p>
        </w:tc>
      </w:tr>
      <w:tr w:rsidR="009729C3" w:rsidRPr="009729C3" w14:paraId="4FF395D5" w14:textId="77777777" w:rsidTr="00813765">
        <w:trPr>
          <w:trHeight w:val="530"/>
        </w:trPr>
        <w:tc>
          <w:tcPr>
            <w:tcW w:w="9653" w:type="dxa"/>
            <w:shd w:val="clear" w:color="auto" w:fill="008DCF"/>
            <w:vAlign w:val="center"/>
          </w:tcPr>
          <w:p w14:paraId="5CDAC63A" w14:textId="3419824C" w:rsidR="009729C3" w:rsidRDefault="009729C3" w:rsidP="00813765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Review past awards and projects</w:t>
            </w:r>
          </w:p>
        </w:tc>
      </w:tr>
      <w:tr w:rsidR="009729C3" w14:paraId="7ABAA6C1" w14:textId="77777777" w:rsidTr="008E1B16">
        <w:trPr>
          <w:trHeight w:val="530"/>
        </w:trPr>
        <w:tc>
          <w:tcPr>
            <w:tcW w:w="9653" w:type="dxa"/>
            <w:shd w:val="clear" w:color="auto" w:fill="auto"/>
            <w:vAlign w:val="center"/>
          </w:tcPr>
          <w:p w14:paraId="63620E39" w14:textId="77777777" w:rsidR="008E1B16" w:rsidRDefault="008E1B16" w:rsidP="00596241"/>
          <w:p w14:paraId="3036778B" w14:textId="57153368" w:rsidR="00242F10" w:rsidRDefault="009729C3" w:rsidP="00596241">
            <w:r>
              <w:t>Has you</w:t>
            </w:r>
            <w:r w:rsidR="005511D0">
              <w:t>r</w:t>
            </w:r>
            <w:r>
              <w:t xml:space="preserve"> library applied for any grant funding in the past five years? </w:t>
            </w:r>
            <w:r w:rsidR="00242F10">
              <w:t xml:space="preserve">A lot can be learned from </w:t>
            </w:r>
            <w:r w:rsidR="00242F10" w:rsidRPr="008E1B16">
              <w:rPr>
                <w:b/>
                <w:bCs/>
              </w:rPr>
              <w:t>previous applications</w:t>
            </w:r>
            <w:r w:rsidR="00242F10">
              <w:t>, whether or not the project received funding.</w:t>
            </w:r>
          </w:p>
          <w:p w14:paraId="08279076" w14:textId="77777777" w:rsidR="00242F10" w:rsidRDefault="00242F10" w:rsidP="00596241"/>
          <w:p w14:paraId="12952653" w14:textId="3FB43529" w:rsidR="00242F10" w:rsidRDefault="00242F10" w:rsidP="00596241">
            <w:r>
              <w:t xml:space="preserve">If you are newer to your library or position, who might know and be able to provide details about </w:t>
            </w:r>
            <w:r w:rsidR="005511D0">
              <w:t>past grants and applications</w:t>
            </w:r>
            <w:r>
              <w:t>? Understanding how the library has been able to use grant funding in the past</w:t>
            </w:r>
            <w:r w:rsidR="00892D3F">
              <w:t xml:space="preserve"> can be helpful to paving the way to future projects</w:t>
            </w:r>
            <w:r>
              <w:t>,</w:t>
            </w:r>
            <w:r w:rsidR="00892D3F">
              <w:t xml:space="preserve"> so</w:t>
            </w:r>
            <w:r>
              <w:t xml:space="preserve"> review any documentation or </w:t>
            </w:r>
            <w:r w:rsidR="00892D3F">
              <w:t xml:space="preserve">grant </w:t>
            </w:r>
            <w:r>
              <w:t>report</w:t>
            </w:r>
            <w:r w:rsidR="00892D3F">
              <w:t>s to glean any lessons that were learned from previous projects</w:t>
            </w:r>
            <w:r>
              <w:t>. Program officers in a foundation may be interested in details about past awards, as well.</w:t>
            </w:r>
          </w:p>
          <w:p w14:paraId="2E5416A9" w14:textId="77777777" w:rsidR="00242F10" w:rsidRDefault="00242F10" w:rsidP="00596241"/>
          <w:p w14:paraId="755FF679" w14:textId="77777777" w:rsidR="009729C3" w:rsidRDefault="00242F10" w:rsidP="00596241">
            <w:r>
              <w:t xml:space="preserve">Seek out information from records or from colleagues about </w:t>
            </w:r>
            <w:r w:rsidR="009729C3">
              <w:t>past projects</w:t>
            </w:r>
            <w:r>
              <w:t>.</w:t>
            </w:r>
          </w:p>
          <w:p w14:paraId="66D23B1D" w14:textId="77777777" w:rsidR="00242F10" w:rsidRDefault="00242F10" w:rsidP="00596241"/>
          <w:p w14:paraId="60CBF444" w14:textId="65133D9A" w:rsidR="00242F10" w:rsidRDefault="00242F10" w:rsidP="00242F10">
            <w:pPr>
              <w:pStyle w:val="ListParagraph"/>
              <w:numPr>
                <w:ilvl w:val="0"/>
                <w:numId w:val="9"/>
              </w:numPr>
            </w:pPr>
            <w:r>
              <w:t>When was the proposal submitted? Is the documentation still available?</w:t>
            </w:r>
            <w:r>
              <w:br/>
            </w:r>
          </w:p>
          <w:p w14:paraId="2E2F2852" w14:textId="77777777" w:rsidR="008E1B16" w:rsidRDefault="008E1B16" w:rsidP="008E1B16"/>
          <w:p w14:paraId="62987B0A" w14:textId="5AEB3019" w:rsidR="00242F10" w:rsidRDefault="00242F10" w:rsidP="008E1B16">
            <w:pPr>
              <w:pStyle w:val="ListParagraph"/>
              <w:numPr>
                <w:ilvl w:val="0"/>
                <w:numId w:val="9"/>
              </w:numPr>
            </w:pPr>
            <w:r>
              <w:t>Was it funded?</w:t>
            </w:r>
            <w:r>
              <w:br/>
            </w:r>
          </w:p>
          <w:p w14:paraId="5DA922E6" w14:textId="77777777" w:rsidR="008E1B16" w:rsidRDefault="008E1B16" w:rsidP="008E1B16">
            <w:pPr>
              <w:pStyle w:val="ListParagraph"/>
            </w:pPr>
          </w:p>
          <w:p w14:paraId="29195BCF" w14:textId="3CACBDAD" w:rsidR="00242F10" w:rsidRDefault="00242F10" w:rsidP="00242F10">
            <w:pPr>
              <w:pStyle w:val="ListParagraph"/>
              <w:numPr>
                <w:ilvl w:val="0"/>
                <w:numId w:val="9"/>
              </w:numPr>
            </w:pPr>
            <w:r>
              <w:t>If the project was funded, can you review any interim or final reports?</w:t>
            </w:r>
            <w:r>
              <w:br/>
            </w:r>
          </w:p>
          <w:p w14:paraId="49F573CF" w14:textId="77777777" w:rsidR="008E1B16" w:rsidRDefault="008E1B16" w:rsidP="008E1B16"/>
          <w:p w14:paraId="3303240B" w14:textId="5FEDDAA7" w:rsidR="00242F10" w:rsidRDefault="00242F10" w:rsidP="00242F10">
            <w:pPr>
              <w:pStyle w:val="ListParagraph"/>
              <w:numPr>
                <w:ilvl w:val="0"/>
                <w:numId w:val="9"/>
              </w:numPr>
            </w:pPr>
            <w:r>
              <w:t>Do any colleagues remember the experience and if so, what can they share?</w:t>
            </w:r>
          </w:p>
          <w:p w14:paraId="2919D3CC" w14:textId="77777777" w:rsidR="008E1B16" w:rsidRDefault="008E1B16" w:rsidP="008E1B16">
            <w:pPr>
              <w:pStyle w:val="ListParagraph"/>
            </w:pPr>
          </w:p>
          <w:p w14:paraId="42EA144E" w14:textId="18608D6F" w:rsidR="008E1B16" w:rsidRDefault="008E1B16" w:rsidP="008E1B16"/>
          <w:p w14:paraId="4B1E9C10" w14:textId="77777777" w:rsidR="008E1B16" w:rsidRDefault="008E1B16" w:rsidP="008E1B16"/>
          <w:p w14:paraId="05B137E9" w14:textId="5D377151" w:rsidR="00242F10" w:rsidRPr="00242F10" w:rsidRDefault="00242F10" w:rsidP="00242F10">
            <w:pPr>
              <w:pStyle w:val="ListParagraph"/>
            </w:pPr>
          </w:p>
        </w:tc>
      </w:tr>
      <w:tr w:rsidR="00A812AA" w14:paraId="54065E81" w14:textId="77777777" w:rsidTr="7A238CEE">
        <w:trPr>
          <w:trHeight w:val="638"/>
        </w:trPr>
        <w:tc>
          <w:tcPr>
            <w:tcW w:w="9653" w:type="dxa"/>
            <w:shd w:val="clear" w:color="auto" w:fill="008DCF"/>
            <w:vAlign w:val="center"/>
          </w:tcPr>
          <w:p w14:paraId="285B5CDD" w14:textId="6445BEA3" w:rsidR="00A812AA" w:rsidRDefault="00596241" w:rsidP="005A294C">
            <w:pPr>
              <w:rPr>
                <w:sz w:val="24"/>
                <w:szCs w:val="24"/>
              </w:rPr>
            </w:pPr>
            <w:r w:rsidRPr="00596241">
              <w:rPr>
                <w:b/>
                <w:color w:val="FFFFFF"/>
                <w:sz w:val="24"/>
                <w:szCs w:val="24"/>
              </w:rPr>
              <w:lastRenderedPageBreak/>
              <w:t>Submit a strong application</w:t>
            </w:r>
          </w:p>
        </w:tc>
      </w:tr>
      <w:tr w:rsidR="00A812AA" w14:paraId="5A17D52C" w14:textId="77777777" w:rsidTr="7A238CEE">
        <w:trPr>
          <w:trHeight w:val="638"/>
        </w:trPr>
        <w:tc>
          <w:tcPr>
            <w:tcW w:w="9653" w:type="dxa"/>
            <w:shd w:val="clear" w:color="auto" w:fill="auto"/>
            <w:vAlign w:val="center"/>
          </w:tcPr>
          <w:p w14:paraId="3B561D9D" w14:textId="77777777" w:rsidR="008E1B16" w:rsidRDefault="008E1B16" w:rsidP="00E13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4FF9715" w14:textId="0BA10554" w:rsidR="00892D3F" w:rsidRDefault="00E136AD" w:rsidP="00E13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Using the tips shared in the presentation, consider each of these </w:t>
            </w:r>
            <w:r w:rsidRPr="009D625E">
              <w:rPr>
                <w:b/>
                <w:bCs/>
              </w:rPr>
              <w:t xml:space="preserve">steps to </w:t>
            </w:r>
            <w:r w:rsidR="00AC40A7" w:rsidRPr="009D625E">
              <w:rPr>
                <w:b/>
                <w:bCs/>
              </w:rPr>
              <w:t>submitting a strong application</w:t>
            </w:r>
            <w:r w:rsidR="00AC40A7">
              <w:t xml:space="preserve"> and </w:t>
            </w:r>
            <w:r w:rsidR="00242F10">
              <w:t xml:space="preserve">consider the strengths within your library team, as well as within your professional network. This can help when you look </w:t>
            </w:r>
            <w:r w:rsidR="00AC40A7">
              <w:t>to identify roles and responsibilities</w:t>
            </w:r>
            <w:r w:rsidR="00892D3F">
              <w:t xml:space="preserve"> across your team</w:t>
            </w:r>
            <w:r w:rsidR="00AC40A7">
              <w:t xml:space="preserve"> </w:t>
            </w:r>
            <w:r w:rsidR="00242F10">
              <w:t>for a grant submission</w:t>
            </w:r>
            <w:r w:rsidR="00AC40A7">
              <w:t xml:space="preserve">. </w:t>
            </w:r>
          </w:p>
          <w:p w14:paraId="6B842B2B" w14:textId="77777777" w:rsidR="00892D3F" w:rsidRDefault="00892D3F" w:rsidP="00E13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BE21F84" w14:textId="3E1CA21E" w:rsidR="00E136AD" w:rsidRDefault="007E5BF4" w:rsidP="00E13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Here are a few considerations:</w:t>
            </w:r>
          </w:p>
          <w:p w14:paraId="52FA6132" w14:textId="77777777" w:rsidR="00E136AD" w:rsidRDefault="00E136AD" w:rsidP="00E13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6509DF6" w14:textId="3B69C406" w:rsidR="00E136AD" w:rsidRDefault="00E136AD" w:rsidP="007E5BF4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Read the </w:t>
            </w:r>
            <w:r w:rsidR="00242F10">
              <w:t>r</w:t>
            </w:r>
            <w:r>
              <w:t>equirements</w:t>
            </w:r>
            <w:r w:rsidR="00892D3F">
              <w:t>. S</w:t>
            </w:r>
            <w:r w:rsidR="007E5BF4">
              <w:t>eek out a partner to review the application requirements</w:t>
            </w:r>
            <w:r w:rsidR="00892D3F">
              <w:t xml:space="preserve"> with you</w:t>
            </w:r>
            <w:r w:rsidR="007E5BF4">
              <w:t>, this can help avoid misunderstandings and create clarity</w:t>
            </w:r>
            <w:r w:rsidR="00892D3F">
              <w:t>.</w:t>
            </w:r>
            <w:r w:rsidR="00B3392D">
              <w:br/>
            </w:r>
          </w:p>
          <w:p w14:paraId="7DC89C50" w14:textId="72CF4407" w:rsidR="00E136AD" w:rsidRDefault="00E136AD" w:rsidP="007E5BF4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And then read </w:t>
            </w:r>
            <w:r w:rsidR="00892D3F">
              <w:t xml:space="preserve">the </w:t>
            </w:r>
            <w:r w:rsidR="001E5DB0">
              <w:t>requirements</w:t>
            </w:r>
            <w:r w:rsidR="00892D3F">
              <w:t xml:space="preserve"> </w:t>
            </w:r>
            <w:r>
              <w:t xml:space="preserve">again! </w:t>
            </w:r>
            <w:r w:rsidR="00B3392D">
              <w:br/>
            </w:r>
          </w:p>
          <w:p w14:paraId="1421A0E0" w14:textId="1471AD0B" w:rsidR="00E136AD" w:rsidRDefault="00E136AD" w:rsidP="007E5BF4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Create a schedule and checklist</w:t>
            </w:r>
            <w:r w:rsidR="00892D3F">
              <w:t>. This is a good task for s</w:t>
            </w:r>
            <w:r w:rsidR="00242F10">
              <w:t xml:space="preserve">omeone who </w:t>
            </w:r>
            <w:r w:rsidR="00B3392D">
              <w:t>likes to organize steps and activities to document all of the requirements</w:t>
            </w:r>
            <w:r w:rsidR="00B3392D">
              <w:br/>
            </w:r>
          </w:p>
          <w:p w14:paraId="692575EF" w14:textId="68083312" w:rsidR="00E136AD" w:rsidRDefault="00E136AD" w:rsidP="007E5BF4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Get some outside perspective</w:t>
            </w:r>
            <w:r w:rsidR="00892D3F">
              <w:t>. Ask</w:t>
            </w:r>
            <w:r w:rsidR="00B3392D">
              <w:t xml:space="preserve"> someone not familiar with the project who can be a critical reviewer and provide feedback.</w:t>
            </w:r>
            <w:r w:rsidR="00B3392D">
              <w:br/>
            </w:r>
          </w:p>
          <w:p w14:paraId="5D2A3361" w14:textId="73FAED6F" w:rsidR="00E136AD" w:rsidRDefault="00E136AD" w:rsidP="007E5BF4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Funder review</w:t>
            </w:r>
            <w:r w:rsidR="00892D3F">
              <w:t>. This step is depended on whether t</w:t>
            </w:r>
            <w:r w:rsidR="00242F10">
              <w:t xml:space="preserve">he funder </w:t>
            </w:r>
            <w:r w:rsidR="00892D3F">
              <w:t>encourages and</w:t>
            </w:r>
            <w:r w:rsidR="00B3392D">
              <w:t xml:space="preserve"> support</w:t>
            </w:r>
            <w:r w:rsidR="00892D3F">
              <w:t>s</w:t>
            </w:r>
            <w:r w:rsidR="00B3392D">
              <w:t xml:space="preserve"> </w:t>
            </w:r>
            <w:r w:rsidR="00892D3F">
              <w:t>reviewing proposal before officially submitting</w:t>
            </w:r>
            <w:r w:rsidR="00C1322F">
              <w:t>.</w:t>
            </w:r>
            <w:r w:rsidR="00B3392D">
              <w:br/>
            </w:r>
          </w:p>
          <w:p w14:paraId="3701FD1C" w14:textId="6032CF88" w:rsidR="00E136AD" w:rsidRDefault="00E136AD" w:rsidP="007E5BF4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Proofread</w:t>
            </w:r>
            <w:r w:rsidR="00892D3F">
              <w:t>. Ask for help from s</w:t>
            </w:r>
            <w:r w:rsidR="00242F10">
              <w:t xml:space="preserve">omeone </w:t>
            </w:r>
            <w:r w:rsidR="00892D3F">
              <w:t>with</w:t>
            </w:r>
            <w:r w:rsidR="00242F10">
              <w:t xml:space="preserve"> a strong eye for word usage</w:t>
            </w:r>
            <w:r w:rsidR="00892D3F">
              <w:t>. A</w:t>
            </w:r>
            <w:r w:rsidR="00242F10">
              <w:t>lso consider</w:t>
            </w:r>
            <w:r w:rsidR="00892D3F">
              <w:t xml:space="preserve"> asking</w:t>
            </w:r>
            <w:r w:rsidR="00242F10">
              <w:t xml:space="preserve"> someone who can look at the formatting in the proposal for consistency.</w:t>
            </w:r>
            <w:r w:rsidR="00B3392D">
              <w:br/>
            </w:r>
          </w:p>
          <w:p w14:paraId="6257F216" w14:textId="18507CA2" w:rsidR="00E136AD" w:rsidRDefault="00E136AD" w:rsidP="00B3392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>
              <w:t>Authorize submission</w:t>
            </w:r>
            <w:r w:rsidR="00242F10">
              <w:t xml:space="preserve">: </w:t>
            </w:r>
            <w:r w:rsidR="00892D3F">
              <w:t>W</w:t>
            </w:r>
            <w:r w:rsidR="00242F10">
              <w:t>ho would this be in your organization? Would a grant proposal require approval from a board or a city official?</w:t>
            </w:r>
            <w:r w:rsidR="00892D3F">
              <w:t xml:space="preserve"> Make sure authorizing staff are well informed of deadlines. </w:t>
            </w:r>
            <w:r w:rsidR="00B3392D">
              <w:br/>
            </w:r>
          </w:p>
          <w:p w14:paraId="62EF2ACE" w14:textId="2B4C7771" w:rsidR="00E136AD" w:rsidRDefault="00E136AD" w:rsidP="00B3392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>
              <w:t>Submit all requirement</w:t>
            </w:r>
            <w:r w:rsidR="00242F10">
              <w:t>s</w:t>
            </w:r>
            <w:r w:rsidR="00892D3F">
              <w:t>. Clarify w</w:t>
            </w:r>
            <w:r w:rsidR="007E5BF4">
              <w:t xml:space="preserve">ho will </w:t>
            </w:r>
            <w:r w:rsidR="00892D3F">
              <w:t>do</w:t>
            </w:r>
            <w:r w:rsidR="00C1322F">
              <w:t xml:space="preserve"> the actual submission</w:t>
            </w:r>
            <w:r w:rsidR="00892D3F">
              <w:t>.</w:t>
            </w:r>
            <w:r w:rsidR="00C1322F">
              <w:t xml:space="preserve"> Is there </w:t>
            </w:r>
            <w:r w:rsidR="00B65A64">
              <w:t>an internal process that may need to be followed?</w:t>
            </w:r>
            <w:r w:rsidR="007E5BF4">
              <w:br/>
            </w:r>
          </w:p>
          <w:p w14:paraId="5D1AF688" w14:textId="56C45F75" w:rsidR="009C68EA" w:rsidRDefault="00E136AD" w:rsidP="00B3392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>
              <w:t>Celebrate!</w:t>
            </w:r>
            <w:r w:rsidR="00B3392D">
              <w:t xml:space="preserve"> Anyone involved can be part of </w:t>
            </w:r>
            <w:r w:rsidR="007E5BF4">
              <w:t xml:space="preserve">the celebration, be proud of the accomplishment. </w:t>
            </w:r>
          </w:p>
          <w:p w14:paraId="468EE2DF" w14:textId="132A28D2" w:rsidR="008E1B16" w:rsidRDefault="008E1B16" w:rsidP="008E1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</w:p>
          <w:p w14:paraId="536CBB08" w14:textId="77777777" w:rsidR="008E1B16" w:rsidRDefault="008E1B16" w:rsidP="008E1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</w:p>
          <w:p w14:paraId="4958433A" w14:textId="09BD91AB" w:rsidR="001B328A" w:rsidRDefault="001B328A" w:rsidP="007B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tbl>
      <w:tblPr>
        <w:tblStyle w:val="TableGrid"/>
        <w:tblW w:w="9630" w:type="dxa"/>
        <w:tblInd w:w="-95" w:type="dxa"/>
        <w:tblLook w:val="04A0" w:firstRow="1" w:lastRow="0" w:firstColumn="1" w:lastColumn="0" w:noHBand="0" w:noVBand="1"/>
      </w:tblPr>
      <w:tblGrid>
        <w:gridCol w:w="9630"/>
      </w:tblGrid>
      <w:tr w:rsidR="00140C7B" w:rsidRPr="00430BA8" w14:paraId="1327359C" w14:textId="77777777" w:rsidTr="008E1B16">
        <w:trPr>
          <w:trHeight w:val="638"/>
        </w:trPr>
        <w:tc>
          <w:tcPr>
            <w:tcW w:w="9630" w:type="dxa"/>
            <w:shd w:val="clear" w:color="auto" w:fill="008DCF"/>
            <w:vAlign w:val="center"/>
          </w:tcPr>
          <w:p w14:paraId="7372B8C4" w14:textId="25244DB1" w:rsidR="00140C7B" w:rsidRPr="00430BA8" w:rsidRDefault="005979A4" w:rsidP="00111B03">
            <w:pPr>
              <w:rPr>
                <w:rFonts w:cstheme="minorHAnsi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Action Plan: (include next steps, who, when, etc.)</w:t>
            </w:r>
          </w:p>
        </w:tc>
      </w:tr>
    </w:tbl>
    <w:tbl>
      <w:tblPr>
        <w:tblStyle w:val="a2"/>
        <w:tblW w:w="963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0"/>
      </w:tblGrid>
      <w:tr w:rsidR="00140C7B" w14:paraId="497BC1D1" w14:textId="77777777" w:rsidTr="002458DC">
        <w:trPr>
          <w:trHeight w:val="638"/>
        </w:trPr>
        <w:tc>
          <w:tcPr>
            <w:tcW w:w="9630" w:type="dxa"/>
            <w:shd w:val="clear" w:color="auto" w:fill="auto"/>
            <w:vAlign w:val="center"/>
          </w:tcPr>
          <w:p w14:paraId="439CF91E" w14:textId="77777777" w:rsidR="00904AAD" w:rsidRDefault="00904AAD" w:rsidP="0011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5BAB2D5" w14:textId="77777777" w:rsidR="00140C7B" w:rsidRDefault="00140C7B" w:rsidP="00597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720"/>
            </w:pPr>
          </w:p>
          <w:p w14:paraId="732C024A" w14:textId="77777777" w:rsidR="00DE0911" w:rsidRDefault="00DE0911" w:rsidP="00597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720"/>
            </w:pPr>
          </w:p>
          <w:p w14:paraId="6BD2724F" w14:textId="77777777" w:rsidR="00DE0911" w:rsidRDefault="00DE0911" w:rsidP="00597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720"/>
            </w:pPr>
          </w:p>
          <w:p w14:paraId="379DECD2" w14:textId="0D500B55" w:rsidR="00DE0911" w:rsidRDefault="00DE0911" w:rsidP="00597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720"/>
            </w:pPr>
          </w:p>
          <w:p w14:paraId="52CF8528" w14:textId="7E344218" w:rsidR="008E1B16" w:rsidRDefault="008E1B16" w:rsidP="00597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720"/>
            </w:pPr>
          </w:p>
          <w:p w14:paraId="35D88882" w14:textId="4EF9AB62" w:rsidR="008E1B16" w:rsidRDefault="008E1B16" w:rsidP="00597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720"/>
            </w:pPr>
          </w:p>
          <w:p w14:paraId="5B30A55E" w14:textId="7444EE06" w:rsidR="008E1B16" w:rsidRDefault="008E1B16" w:rsidP="00597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720"/>
            </w:pPr>
          </w:p>
          <w:p w14:paraId="136C4515" w14:textId="3BA2F57F" w:rsidR="008E1B16" w:rsidRDefault="008E1B16" w:rsidP="00597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720"/>
            </w:pPr>
          </w:p>
          <w:p w14:paraId="75B0CBD2" w14:textId="1A882A75" w:rsidR="008E1B16" w:rsidRDefault="008E1B16" w:rsidP="00597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720"/>
            </w:pPr>
          </w:p>
          <w:p w14:paraId="74D18505" w14:textId="24E90BB3" w:rsidR="008E1B16" w:rsidRDefault="008E1B16" w:rsidP="00597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720"/>
            </w:pPr>
          </w:p>
          <w:p w14:paraId="1B72A7AC" w14:textId="18973C91" w:rsidR="008E1B16" w:rsidRDefault="008E1B16" w:rsidP="00597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720"/>
            </w:pPr>
          </w:p>
          <w:p w14:paraId="7CFB3A4C" w14:textId="4CF87B95" w:rsidR="008E1B16" w:rsidRDefault="008E1B16" w:rsidP="00597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720"/>
            </w:pPr>
          </w:p>
          <w:p w14:paraId="73A9D446" w14:textId="554176C4" w:rsidR="008E1B16" w:rsidRDefault="008E1B16" w:rsidP="00597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720"/>
            </w:pPr>
          </w:p>
          <w:p w14:paraId="1C94BA26" w14:textId="77777777" w:rsidR="008E1B16" w:rsidRDefault="008E1B16" w:rsidP="008E1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</w:pPr>
          </w:p>
          <w:p w14:paraId="63754676" w14:textId="77777777" w:rsidR="00DE0911" w:rsidRDefault="00DE0911" w:rsidP="00597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720"/>
            </w:pPr>
          </w:p>
          <w:p w14:paraId="66C6462B" w14:textId="77777777" w:rsidR="00DE0911" w:rsidRDefault="00DE0911" w:rsidP="00597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720"/>
            </w:pPr>
          </w:p>
          <w:p w14:paraId="15466ACC" w14:textId="5F7ED51B" w:rsidR="00DE0911" w:rsidRDefault="00DE0911" w:rsidP="00DE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</w:pPr>
          </w:p>
        </w:tc>
      </w:tr>
    </w:tbl>
    <w:p w14:paraId="07B378C8" w14:textId="77777777" w:rsidR="004A086E" w:rsidRDefault="004A086E" w:rsidP="00DB1365">
      <w:pPr>
        <w:spacing w:line="240" w:lineRule="auto"/>
        <w:rPr>
          <w:sz w:val="24"/>
          <w:szCs w:val="24"/>
        </w:rPr>
      </w:pPr>
    </w:p>
    <w:sectPr w:rsidR="004A086E">
      <w:headerReference w:type="default" r:id="rId12"/>
      <w:footerReference w:type="default" r:id="rId13"/>
      <w:pgSz w:w="12240" w:h="15840"/>
      <w:pgMar w:top="1440" w:right="1440" w:bottom="115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CF8F2" w14:textId="77777777" w:rsidR="00AD40CC" w:rsidRDefault="00AD40CC">
      <w:pPr>
        <w:spacing w:after="0" w:line="240" w:lineRule="auto"/>
      </w:pPr>
      <w:r>
        <w:separator/>
      </w:r>
    </w:p>
  </w:endnote>
  <w:endnote w:type="continuationSeparator" w:id="0">
    <w:p w14:paraId="79CDC6BE" w14:textId="77777777" w:rsidR="00AD40CC" w:rsidRDefault="00AD4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A9CD" w14:textId="77777777" w:rsidR="00E6622D" w:rsidRDefault="00E662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4B766" w14:textId="77777777" w:rsidR="00AD40CC" w:rsidRDefault="00AD40CC">
      <w:pPr>
        <w:spacing w:after="0" w:line="240" w:lineRule="auto"/>
      </w:pPr>
      <w:r>
        <w:separator/>
      </w:r>
    </w:p>
  </w:footnote>
  <w:footnote w:type="continuationSeparator" w:id="0">
    <w:p w14:paraId="56EC9361" w14:textId="77777777" w:rsidR="00AD40CC" w:rsidRDefault="00AD4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30A2" w14:textId="77777777" w:rsidR="00E6622D" w:rsidRDefault="00B365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rFonts w:ascii="Cambria" w:eastAsia="Cambria" w:hAnsi="Cambria" w:cs="Cambria"/>
        <w:b/>
        <w:noProof/>
        <w:color w:val="366091"/>
        <w:sz w:val="28"/>
        <w:szCs w:val="28"/>
      </w:rPr>
      <w:drawing>
        <wp:inline distT="0" distB="0" distL="0" distR="0" wp14:anchorId="0EA0ED66" wp14:editId="4EC02DA8">
          <wp:extent cx="2120287" cy="560385"/>
          <wp:effectExtent l="0" t="0" r="0" b="0"/>
          <wp:docPr id="1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0287" cy="560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AE8"/>
    <w:multiLevelType w:val="hybridMultilevel"/>
    <w:tmpl w:val="EAB26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14CF8"/>
    <w:multiLevelType w:val="hybridMultilevel"/>
    <w:tmpl w:val="E2A8F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C0E58"/>
    <w:multiLevelType w:val="hybridMultilevel"/>
    <w:tmpl w:val="F4D2C5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601CA7"/>
    <w:multiLevelType w:val="hybridMultilevel"/>
    <w:tmpl w:val="4816C2A2"/>
    <w:lvl w:ilvl="0" w:tplc="ABE86CE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C7428"/>
    <w:multiLevelType w:val="hybridMultilevel"/>
    <w:tmpl w:val="5B541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737B4"/>
    <w:multiLevelType w:val="hybridMultilevel"/>
    <w:tmpl w:val="4816C2A2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A37B1"/>
    <w:multiLevelType w:val="hybridMultilevel"/>
    <w:tmpl w:val="CF684A42"/>
    <w:lvl w:ilvl="0" w:tplc="C4DE31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6FE749FC"/>
    <w:multiLevelType w:val="hybridMultilevel"/>
    <w:tmpl w:val="8D36E0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9E750C"/>
    <w:multiLevelType w:val="hybridMultilevel"/>
    <w:tmpl w:val="49C691E0"/>
    <w:lvl w:ilvl="0" w:tplc="9FF87D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890770">
    <w:abstractNumId w:val="4"/>
  </w:num>
  <w:num w:numId="2" w16cid:durableId="709182027">
    <w:abstractNumId w:val="8"/>
  </w:num>
  <w:num w:numId="3" w16cid:durableId="764808713">
    <w:abstractNumId w:val="1"/>
  </w:num>
  <w:num w:numId="4" w16cid:durableId="314798002">
    <w:abstractNumId w:val="7"/>
  </w:num>
  <w:num w:numId="5" w16cid:durableId="1921255231">
    <w:abstractNumId w:val="2"/>
  </w:num>
  <w:num w:numId="6" w16cid:durableId="1187526455">
    <w:abstractNumId w:val="6"/>
  </w:num>
  <w:num w:numId="7" w16cid:durableId="2102526763">
    <w:abstractNumId w:val="3"/>
  </w:num>
  <w:num w:numId="8" w16cid:durableId="877357985">
    <w:abstractNumId w:val="5"/>
  </w:num>
  <w:num w:numId="9" w16cid:durableId="54881064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2D"/>
    <w:rsid w:val="000024CC"/>
    <w:rsid w:val="00003F0C"/>
    <w:rsid w:val="00005C5F"/>
    <w:rsid w:val="00043343"/>
    <w:rsid w:val="000509B7"/>
    <w:rsid w:val="00055AD3"/>
    <w:rsid w:val="0006152E"/>
    <w:rsid w:val="0006482B"/>
    <w:rsid w:val="00082773"/>
    <w:rsid w:val="00084691"/>
    <w:rsid w:val="00084756"/>
    <w:rsid w:val="000A00B9"/>
    <w:rsid w:val="000B5904"/>
    <w:rsid w:val="000C0604"/>
    <w:rsid w:val="000C0E24"/>
    <w:rsid w:val="000C3F6B"/>
    <w:rsid w:val="000D3DE0"/>
    <w:rsid w:val="000E651F"/>
    <w:rsid w:val="000E6D03"/>
    <w:rsid w:val="00101EC4"/>
    <w:rsid w:val="00104F00"/>
    <w:rsid w:val="00125413"/>
    <w:rsid w:val="00132688"/>
    <w:rsid w:val="00136206"/>
    <w:rsid w:val="00140C7B"/>
    <w:rsid w:val="00154516"/>
    <w:rsid w:val="0015674A"/>
    <w:rsid w:val="00161945"/>
    <w:rsid w:val="00180ED0"/>
    <w:rsid w:val="001835E7"/>
    <w:rsid w:val="00186575"/>
    <w:rsid w:val="001915FA"/>
    <w:rsid w:val="00194DBB"/>
    <w:rsid w:val="001A6638"/>
    <w:rsid w:val="001B328A"/>
    <w:rsid w:val="001C19DF"/>
    <w:rsid w:val="001D7A33"/>
    <w:rsid w:val="001E4CD8"/>
    <w:rsid w:val="001E5DB0"/>
    <w:rsid w:val="00232292"/>
    <w:rsid w:val="00237500"/>
    <w:rsid w:val="0023B838"/>
    <w:rsid w:val="00242F10"/>
    <w:rsid w:val="002458DC"/>
    <w:rsid w:val="002459C1"/>
    <w:rsid w:val="00270A7C"/>
    <w:rsid w:val="0027616E"/>
    <w:rsid w:val="002A3C2F"/>
    <w:rsid w:val="002C68C7"/>
    <w:rsid w:val="002D539D"/>
    <w:rsid w:val="002F1124"/>
    <w:rsid w:val="002F15D0"/>
    <w:rsid w:val="00313123"/>
    <w:rsid w:val="00350834"/>
    <w:rsid w:val="00357548"/>
    <w:rsid w:val="003604A2"/>
    <w:rsid w:val="003628DE"/>
    <w:rsid w:val="00362CFA"/>
    <w:rsid w:val="00375980"/>
    <w:rsid w:val="00393019"/>
    <w:rsid w:val="003B38B9"/>
    <w:rsid w:val="003B6E8B"/>
    <w:rsid w:val="003C2011"/>
    <w:rsid w:val="003F08D3"/>
    <w:rsid w:val="003F3A06"/>
    <w:rsid w:val="0040479F"/>
    <w:rsid w:val="004109FE"/>
    <w:rsid w:val="00414B97"/>
    <w:rsid w:val="00420627"/>
    <w:rsid w:val="00434A84"/>
    <w:rsid w:val="00435C32"/>
    <w:rsid w:val="00451647"/>
    <w:rsid w:val="0045693B"/>
    <w:rsid w:val="00462089"/>
    <w:rsid w:val="00463FF5"/>
    <w:rsid w:val="004707A6"/>
    <w:rsid w:val="00472BE8"/>
    <w:rsid w:val="00480E10"/>
    <w:rsid w:val="004940D1"/>
    <w:rsid w:val="004A086E"/>
    <w:rsid w:val="004B1498"/>
    <w:rsid w:val="004B2E4B"/>
    <w:rsid w:val="004B5F39"/>
    <w:rsid w:val="004C577E"/>
    <w:rsid w:val="004D7B8C"/>
    <w:rsid w:val="004E4B7F"/>
    <w:rsid w:val="004E4D61"/>
    <w:rsid w:val="004E6B6C"/>
    <w:rsid w:val="004F07EC"/>
    <w:rsid w:val="004F1EF8"/>
    <w:rsid w:val="004F508B"/>
    <w:rsid w:val="004F690D"/>
    <w:rsid w:val="005236F0"/>
    <w:rsid w:val="0053277E"/>
    <w:rsid w:val="00547A89"/>
    <w:rsid w:val="005511D0"/>
    <w:rsid w:val="00561009"/>
    <w:rsid w:val="00571A83"/>
    <w:rsid w:val="00573E32"/>
    <w:rsid w:val="00596241"/>
    <w:rsid w:val="005979A4"/>
    <w:rsid w:val="005B419E"/>
    <w:rsid w:val="005C000D"/>
    <w:rsid w:val="005C1D16"/>
    <w:rsid w:val="005D7CE0"/>
    <w:rsid w:val="00611378"/>
    <w:rsid w:val="00621D0A"/>
    <w:rsid w:val="00623A93"/>
    <w:rsid w:val="006262C9"/>
    <w:rsid w:val="00633EE6"/>
    <w:rsid w:val="006547F0"/>
    <w:rsid w:val="00661B7C"/>
    <w:rsid w:val="0067089C"/>
    <w:rsid w:val="006720A4"/>
    <w:rsid w:val="006768B4"/>
    <w:rsid w:val="0068243E"/>
    <w:rsid w:val="00685F29"/>
    <w:rsid w:val="006A76CB"/>
    <w:rsid w:val="006B4C94"/>
    <w:rsid w:val="006C6EFE"/>
    <w:rsid w:val="006D39D0"/>
    <w:rsid w:val="006D4542"/>
    <w:rsid w:val="006D5A5E"/>
    <w:rsid w:val="006E1524"/>
    <w:rsid w:val="006E37D7"/>
    <w:rsid w:val="00700150"/>
    <w:rsid w:val="00712A3E"/>
    <w:rsid w:val="00730E79"/>
    <w:rsid w:val="007358B8"/>
    <w:rsid w:val="00735EE9"/>
    <w:rsid w:val="007459E2"/>
    <w:rsid w:val="00747B3F"/>
    <w:rsid w:val="00766650"/>
    <w:rsid w:val="007672E1"/>
    <w:rsid w:val="00775102"/>
    <w:rsid w:val="007856CB"/>
    <w:rsid w:val="00787646"/>
    <w:rsid w:val="00791461"/>
    <w:rsid w:val="007A200C"/>
    <w:rsid w:val="007B4C32"/>
    <w:rsid w:val="007B663F"/>
    <w:rsid w:val="007C12A4"/>
    <w:rsid w:val="007E5BF4"/>
    <w:rsid w:val="008030F9"/>
    <w:rsid w:val="008115B5"/>
    <w:rsid w:val="00815ED1"/>
    <w:rsid w:val="00831144"/>
    <w:rsid w:val="00845B8D"/>
    <w:rsid w:val="0085641D"/>
    <w:rsid w:val="00892D3F"/>
    <w:rsid w:val="00895ABE"/>
    <w:rsid w:val="008D4EC4"/>
    <w:rsid w:val="008E1B16"/>
    <w:rsid w:val="008F39FE"/>
    <w:rsid w:val="008F4172"/>
    <w:rsid w:val="00904AAD"/>
    <w:rsid w:val="00913397"/>
    <w:rsid w:val="0091533D"/>
    <w:rsid w:val="0092038C"/>
    <w:rsid w:val="009222BF"/>
    <w:rsid w:val="00925964"/>
    <w:rsid w:val="00937A03"/>
    <w:rsid w:val="00945E1E"/>
    <w:rsid w:val="009461B7"/>
    <w:rsid w:val="00950034"/>
    <w:rsid w:val="0095238B"/>
    <w:rsid w:val="00965B89"/>
    <w:rsid w:val="009729C3"/>
    <w:rsid w:val="00974689"/>
    <w:rsid w:val="00983862"/>
    <w:rsid w:val="009910D0"/>
    <w:rsid w:val="009B6F3A"/>
    <w:rsid w:val="009B7772"/>
    <w:rsid w:val="009C68EA"/>
    <w:rsid w:val="009D625E"/>
    <w:rsid w:val="009E4695"/>
    <w:rsid w:val="009F6840"/>
    <w:rsid w:val="009F7C1F"/>
    <w:rsid w:val="00A052B9"/>
    <w:rsid w:val="00A05F36"/>
    <w:rsid w:val="00A31881"/>
    <w:rsid w:val="00A31D70"/>
    <w:rsid w:val="00A36759"/>
    <w:rsid w:val="00A5290B"/>
    <w:rsid w:val="00A812AA"/>
    <w:rsid w:val="00A8572A"/>
    <w:rsid w:val="00A9450B"/>
    <w:rsid w:val="00A95718"/>
    <w:rsid w:val="00AC40A7"/>
    <w:rsid w:val="00AD40CC"/>
    <w:rsid w:val="00AD68AD"/>
    <w:rsid w:val="00AF0C1B"/>
    <w:rsid w:val="00AF212A"/>
    <w:rsid w:val="00AF31C8"/>
    <w:rsid w:val="00B00DAE"/>
    <w:rsid w:val="00B3247B"/>
    <w:rsid w:val="00B3392D"/>
    <w:rsid w:val="00B354C8"/>
    <w:rsid w:val="00B365CD"/>
    <w:rsid w:val="00B367AB"/>
    <w:rsid w:val="00B43599"/>
    <w:rsid w:val="00B47542"/>
    <w:rsid w:val="00B515A2"/>
    <w:rsid w:val="00B524A4"/>
    <w:rsid w:val="00B56559"/>
    <w:rsid w:val="00B60FB2"/>
    <w:rsid w:val="00B6331B"/>
    <w:rsid w:val="00B65A64"/>
    <w:rsid w:val="00B70A46"/>
    <w:rsid w:val="00B724F0"/>
    <w:rsid w:val="00B82207"/>
    <w:rsid w:val="00B850B1"/>
    <w:rsid w:val="00B92432"/>
    <w:rsid w:val="00BB60F5"/>
    <w:rsid w:val="00BC1719"/>
    <w:rsid w:val="00BD127A"/>
    <w:rsid w:val="00BE5567"/>
    <w:rsid w:val="00BE7316"/>
    <w:rsid w:val="00BF5CAC"/>
    <w:rsid w:val="00C1322F"/>
    <w:rsid w:val="00C37311"/>
    <w:rsid w:val="00C44F30"/>
    <w:rsid w:val="00C471E9"/>
    <w:rsid w:val="00C75E7A"/>
    <w:rsid w:val="00C85D94"/>
    <w:rsid w:val="00C92B43"/>
    <w:rsid w:val="00C9535A"/>
    <w:rsid w:val="00CC3E52"/>
    <w:rsid w:val="00CE0CCE"/>
    <w:rsid w:val="00D104ED"/>
    <w:rsid w:val="00D156CB"/>
    <w:rsid w:val="00D373D1"/>
    <w:rsid w:val="00D37E05"/>
    <w:rsid w:val="00D50A2A"/>
    <w:rsid w:val="00D5781B"/>
    <w:rsid w:val="00D80565"/>
    <w:rsid w:val="00D938D7"/>
    <w:rsid w:val="00D974DE"/>
    <w:rsid w:val="00DA10BB"/>
    <w:rsid w:val="00DB1365"/>
    <w:rsid w:val="00DB15B5"/>
    <w:rsid w:val="00DB2F92"/>
    <w:rsid w:val="00DE0911"/>
    <w:rsid w:val="00E027FA"/>
    <w:rsid w:val="00E06672"/>
    <w:rsid w:val="00E06925"/>
    <w:rsid w:val="00E136AD"/>
    <w:rsid w:val="00E141C2"/>
    <w:rsid w:val="00E22CC6"/>
    <w:rsid w:val="00E54255"/>
    <w:rsid w:val="00E61C51"/>
    <w:rsid w:val="00E624A6"/>
    <w:rsid w:val="00E642E8"/>
    <w:rsid w:val="00E65C33"/>
    <w:rsid w:val="00E6622D"/>
    <w:rsid w:val="00E66F13"/>
    <w:rsid w:val="00E71CD1"/>
    <w:rsid w:val="00E7412B"/>
    <w:rsid w:val="00E81A4F"/>
    <w:rsid w:val="00E8411A"/>
    <w:rsid w:val="00E8521A"/>
    <w:rsid w:val="00E87B9E"/>
    <w:rsid w:val="00EC1B53"/>
    <w:rsid w:val="00ED01A2"/>
    <w:rsid w:val="00ED0939"/>
    <w:rsid w:val="00ED3BDD"/>
    <w:rsid w:val="00ED4779"/>
    <w:rsid w:val="00EE5FE2"/>
    <w:rsid w:val="00EF76C2"/>
    <w:rsid w:val="00F10F15"/>
    <w:rsid w:val="00F56894"/>
    <w:rsid w:val="00F721F1"/>
    <w:rsid w:val="00F8102C"/>
    <w:rsid w:val="00F9103D"/>
    <w:rsid w:val="00F9221C"/>
    <w:rsid w:val="00FE7AE9"/>
    <w:rsid w:val="00FF0609"/>
    <w:rsid w:val="020CC50B"/>
    <w:rsid w:val="05BE8722"/>
    <w:rsid w:val="06D3C2A9"/>
    <w:rsid w:val="080FCAFB"/>
    <w:rsid w:val="0F4C410B"/>
    <w:rsid w:val="11EEAD65"/>
    <w:rsid w:val="150D0324"/>
    <w:rsid w:val="19E02990"/>
    <w:rsid w:val="1D38B8C9"/>
    <w:rsid w:val="1F7BBAEB"/>
    <w:rsid w:val="22D92339"/>
    <w:rsid w:val="2616814F"/>
    <w:rsid w:val="27FAB8F0"/>
    <w:rsid w:val="2AEB900D"/>
    <w:rsid w:val="3107D8EE"/>
    <w:rsid w:val="315C4FDF"/>
    <w:rsid w:val="32370FA9"/>
    <w:rsid w:val="326D7FC9"/>
    <w:rsid w:val="3330EA10"/>
    <w:rsid w:val="347949F6"/>
    <w:rsid w:val="358EF3C4"/>
    <w:rsid w:val="36EFA043"/>
    <w:rsid w:val="37534F38"/>
    <w:rsid w:val="3A6D55C4"/>
    <w:rsid w:val="3DA2D160"/>
    <w:rsid w:val="3F310BB7"/>
    <w:rsid w:val="4230842F"/>
    <w:rsid w:val="45DB5101"/>
    <w:rsid w:val="46175DEF"/>
    <w:rsid w:val="46B4B02C"/>
    <w:rsid w:val="4C97BB99"/>
    <w:rsid w:val="4CE6A548"/>
    <w:rsid w:val="4ED04847"/>
    <w:rsid w:val="52F88652"/>
    <w:rsid w:val="58377631"/>
    <w:rsid w:val="5898DDEB"/>
    <w:rsid w:val="640268C1"/>
    <w:rsid w:val="64968F14"/>
    <w:rsid w:val="69FFA3DD"/>
    <w:rsid w:val="6A363BDE"/>
    <w:rsid w:val="6DFEA189"/>
    <w:rsid w:val="6F83055D"/>
    <w:rsid w:val="6FE9275F"/>
    <w:rsid w:val="70FC0503"/>
    <w:rsid w:val="7136424B"/>
    <w:rsid w:val="736BF4E7"/>
    <w:rsid w:val="7A238CEE"/>
    <w:rsid w:val="7AA00D0C"/>
    <w:rsid w:val="7EEC5F6C"/>
    <w:rsid w:val="7F99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40D72"/>
  <w15:docId w15:val="{A1834E96-94CA-4AF7-ACD9-8DBF70E3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0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DA3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2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560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uiPriority w:val="99"/>
    <w:rsid w:val="00560CCE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60C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-pageintro">
    <w:name w:val="text-pageintro"/>
    <w:basedOn w:val="DefaultParagraphFont"/>
    <w:rsid w:val="00560CCE"/>
  </w:style>
  <w:style w:type="paragraph" w:styleId="ListParagraph">
    <w:name w:val="List Paragraph"/>
    <w:basedOn w:val="Normal"/>
    <w:uiPriority w:val="34"/>
    <w:qFormat/>
    <w:rsid w:val="00560CCE"/>
    <w:pPr>
      <w:spacing w:after="0" w:line="240" w:lineRule="auto"/>
      <w:ind w:left="720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AC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081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45D0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1325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2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2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2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25C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D54DE2"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DA345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71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61B"/>
  </w:style>
  <w:style w:type="paragraph" w:styleId="Footer">
    <w:name w:val="footer"/>
    <w:basedOn w:val="Normal"/>
    <w:link w:val="FooterChar"/>
    <w:uiPriority w:val="99"/>
    <w:unhideWhenUsed/>
    <w:rsid w:val="0071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61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1D52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D64E74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51B6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3485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348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029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090D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r-only">
    <w:name w:val="sr-only"/>
    <w:basedOn w:val="DefaultParagraphFont"/>
    <w:rsid w:val="000846E4"/>
  </w:style>
  <w:style w:type="character" w:customStyle="1" w:styleId="file-details">
    <w:name w:val="file-details"/>
    <w:basedOn w:val="DefaultParagraphFont"/>
    <w:rsid w:val="000846E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270A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91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9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10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3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3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2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9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9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1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5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webjunction.org/explore-topics/budget-funding/see-also-links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ibraries.foundationcenter.org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webjunction.org/events/webjunction/grantseeking-for-libraries-strategies-and-tips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yySFQoT1eZicTKKtvtyyW7vaNQ==">AMUW2mUtq3H0q2Y/jXKHdN8/cLOpbiYdcVZ6hGPGrniSS2xqeUyX9HyIW8nvSvMKn1GsYg6iSHfKEuefExcDrbXe3ruqBNNmTs6RhHuxnGn15sXisCiQk9k=</go:docsCustomData>
</go:gDocsCustomXmlDataStorage>
</file>

<file path=customXml/itemProps1.xml><?xml version="1.0" encoding="utf-8"?>
<ds:datastoreItem xmlns:ds="http://schemas.openxmlformats.org/officeDocument/2006/customXml" ds:itemID="{8B01845C-2E7E-4135-9FD7-4CB36ABC16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petersoj</dc:creator>
  <cp:lastModifiedBy>Peterson,Jennifer</cp:lastModifiedBy>
  <cp:revision>3</cp:revision>
  <dcterms:created xsi:type="dcterms:W3CDTF">2022-10-25T21:59:00Z</dcterms:created>
  <dcterms:modified xsi:type="dcterms:W3CDTF">2022-10-25T22:06:00Z</dcterms:modified>
</cp:coreProperties>
</file>