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2014" w14:textId="77777777" w:rsidR="009E4695" w:rsidRDefault="009E4695">
      <w:pPr>
        <w:spacing w:after="0" w:line="240" w:lineRule="auto"/>
        <w:rPr>
          <w:b/>
          <w:color w:val="008DCF"/>
          <w:sz w:val="28"/>
          <w:szCs w:val="28"/>
        </w:rPr>
      </w:pPr>
      <w:r w:rsidRPr="009E4695">
        <w:rPr>
          <w:b/>
          <w:color w:val="008DCF"/>
          <w:sz w:val="28"/>
          <w:szCs w:val="28"/>
        </w:rPr>
        <w:t>Growing Digital Equity Through Community Partnerships</w:t>
      </w:r>
    </w:p>
    <w:p w14:paraId="1946A1B8" w14:textId="7DEDE1A3" w:rsidR="00E6622D" w:rsidRDefault="00B365CD">
      <w:pPr>
        <w:spacing w:after="0" w:line="240" w:lineRule="auto"/>
        <w:rPr>
          <w:b/>
          <w:color w:val="008DCF"/>
          <w:sz w:val="28"/>
          <w:szCs w:val="28"/>
        </w:rPr>
      </w:pPr>
      <w:r>
        <w:rPr>
          <w:b/>
          <w:color w:val="008DCF"/>
          <w:sz w:val="28"/>
          <w:szCs w:val="28"/>
        </w:rPr>
        <w:t>Learner Guide</w:t>
      </w:r>
    </w:p>
    <w:p w14:paraId="45B6C51E" w14:textId="77777777" w:rsidR="00E6622D" w:rsidRDefault="00E6622D">
      <w:pPr>
        <w:spacing w:after="0" w:line="240" w:lineRule="auto"/>
        <w:rPr>
          <w:b/>
          <w:color w:val="008DCF"/>
          <w:sz w:val="16"/>
          <w:szCs w:val="16"/>
        </w:rPr>
      </w:pPr>
    </w:p>
    <w:p w14:paraId="7CA29457" w14:textId="66654A87" w:rsidR="009E4695" w:rsidRDefault="00950034" w:rsidP="009B6F3A">
      <w:pPr>
        <w:spacing w:line="240" w:lineRule="auto"/>
      </w:pPr>
      <w:hyperlink r:id="rId8" w:history="1">
        <w:r w:rsidR="009E4695" w:rsidRPr="00211F59">
          <w:rPr>
            <w:rStyle w:val="Hyperlink"/>
          </w:rPr>
          <w:t>https://www.webjunction.org/events/webjunction/growing-digital-equity.html</w:t>
        </w:r>
      </w:hyperlink>
    </w:p>
    <w:p w14:paraId="04C79AA8" w14:textId="1C3BC381" w:rsidR="009E4695" w:rsidRDefault="009E4695" w:rsidP="009E4695">
      <w:pPr>
        <w:spacing w:line="240" w:lineRule="auto"/>
      </w:pPr>
      <w:r>
        <w:t>As digital access becomes increasingly essential for participating in community life, libraries can play an important role in the digital equity and inclusion ecosystem. Hear about a variety of innovative services and partnerships that King County Library System (KCLS) has instituted for sustainable digital inclusion. These include launching a Digital Navigators service, circulating hotspots and laptops to partners to reach people experiencing homelessness, participating in a community-owned wireless network, and supporting telehealth. Learn to apply these ideas to overcome digital access barriers and meet the digital needs of your own communities.</w:t>
      </w:r>
    </w:p>
    <w:p w14:paraId="1F14A112" w14:textId="7884DDBE" w:rsidR="00E6622D" w:rsidRDefault="009E4695" w:rsidP="009E4695">
      <w:pPr>
        <w:spacing w:line="240" w:lineRule="auto"/>
        <w:rPr>
          <w:color w:val="000000"/>
        </w:rPr>
      </w:pPr>
      <w:r>
        <w:t>Presented by: Dr. Audrey Barbakoff, EdD, MLIS, Community Engagement and Economic Development Manager, Library Outreach, Programs, and Services, King County Library System (WA)</w:t>
      </w:r>
    </w:p>
    <w:tbl>
      <w:tblPr>
        <w:tblStyle w:val="a1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7950"/>
      </w:tblGrid>
      <w:tr w:rsidR="00E6622D" w14:paraId="7C5145AC" w14:textId="77777777">
        <w:trPr>
          <w:trHeight w:val="503"/>
        </w:trPr>
        <w:tc>
          <w:tcPr>
            <w:tcW w:w="9468" w:type="dxa"/>
            <w:gridSpan w:val="2"/>
            <w:shd w:val="clear" w:color="auto" w:fill="008DCF"/>
            <w:vAlign w:val="center"/>
          </w:tcPr>
          <w:p w14:paraId="7573F37F" w14:textId="77777777" w:rsidR="00E6622D" w:rsidRDefault="00B365C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What are your goals for viewing this webinar?</w:t>
            </w:r>
          </w:p>
        </w:tc>
      </w:tr>
      <w:tr w:rsidR="00E6622D" w14:paraId="440E94A2" w14:textId="77777777">
        <w:trPr>
          <w:trHeight w:val="674"/>
        </w:trPr>
        <w:tc>
          <w:tcPr>
            <w:tcW w:w="1518" w:type="dxa"/>
            <w:shd w:val="clear" w:color="auto" w:fill="97DFFF"/>
            <w:vAlign w:val="center"/>
          </w:tcPr>
          <w:p w14:paraId="54EABF1C" w14:textId="77777777" w:rsidR="00E6622D" w:rsidRDefault="00B365CD">
            <w:pPr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Personal Goals</w:t>
            </w:r>
          </w:p>
        </w:tc>
        <w:tc>
          <w:tcPr>
            <w:tcW w:w="7950" w:type="dxa"/>
            <w:vAlign w:val="center"/>
          </w:tcPr>
          <w:p w14:paraId="4CB2771A" w14:textId="77777777" w:rsidR="00E6622D" w:rsidRDefault="00E6622D">
            <w:pPr>
              <w:rPr>
                <w:sz w:val="24"/>
                <w:szCs w:val="24"/>
              </w:rPr>
            </w:pPr>
          </w:p>
          <w:p w14:paraId="759009CB" w14:textId="77777777" w:rsidR="00E6622D" w:rsidRDefault="00E6622D">
            <w:pPr>
              <w:rPr>
                <w:sz w:val="24"/>
                <w:szCs w:val="24"/>
              </w:rPr>
            </w:pPr>
          </w:p>
          <w:p w14:paraId="31D4996C" w14:textId="77777777" w:rsidR="00E6622D" w:rsidRDefault="00E6622D">
            <w:pPr>
              <w:rPr>
                <w:sz w:val="24"/>
                <w:szCs w:val="24"/>
              </w:rPr>
            </w:pPr>
          </w:p>
        </w:tc>
      </w:tr>
      <w:tr w:rsidR="00E6622D" w14:paraId="6295E096" w14:textId="77777777">
        <w:trPr>
          <w:trHeight w:val="863"/>
        </w:trPr>
        <w:tc>
          <w:tcPr>
            <w:tcW w:w="1518" w:type="dxa"/>
            <w:shd w:val="clear" w:color="auto" w:fill="97DFFF"/>
            <w:vAlign w:val="center"/>
          </w:tcPr>
          <w:p w14:paraId="7E68E0DE" w14:textId="77777777" w:rsidR="00E6622D" w:rsidRDefault="00B365CD">
            <w:pPr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Team Goals</w:t>
            </w:r>
          </w:p>
        </w:tc>
        <w:tc>
          <w:tcPr>
            <w:tcW w:w="7950" w:type="dxa"/>
            <w:vAlign w:val="center"/>
          </w:tcPr>
          <w:p w14:paraId="18879292" w14:textId="77777777" w:rsidR="00E6622D" w:rsidRDefault="00E6622D">
            <w:pPr>
              <w:rPr>
                <w:sz w:val="24"/>
                <w:szCs w:val="24"/>
              </w:rPr>
            </w:pPr>
          </w:p>
          <w:p w14:paraId="240EB080" w14:textId="77777777" w:rsidR="00E6622D" w:rsidRDefault="00E6622D">
            <w:pPr>
              <w:rPr>
                <w:sz w:val="24"/>
                <w:szCs w:val="24"/>
              </w:rPr>
            </w:pPr>
          </w:p>
        </w:tc>
      </w:tr>
      <w:tr w:rsidR="00E6622D" w14:paraId="64A4A4D7" w14:textId="77777777">
        <w:trPr>
          <w:trHeight w:val="476"/>
        </w:trPr>
        <w:tc>
          <w:tcPr>
            <w:tcW w:w="9468" w:type="dxa"/>
            <w:gridSpan w:val="2"/>
            <w:shd w:val="clear" w:color="auto" w:fill="008DCF"/>
            <w:vAlign w:val="center"/>
          </w:tcPr>
          <w:p w14:paraId="2AD5BC46" w14:textId="1337B564" w:rsidR="00E6622D" w:rsidRDefault="0045693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Don’t Go it Alone!</w:t>
            </w:r>
          </w:p>
        </w:tc>
      </w:tr>
      <w:tr w:rsidR="00E6622D" w14:paraId="36B449D5" w14:textId="77777777">
        <w:trPr>
          <w:trHeight w:val="1158"/>
        </w:trPr>
        <w:tc>
          <w:tcPr>
            <w:tcW w:w="9468" w:type="dxa"/>
            <w:gridSpan w:val="2"/>
            <w:shd w:val="clear" w:color="auto" w:fill="FFFFFF"/>
            <w:vAlign w:val="center"/>
          </w:tcPr>
          <w:p w14:paraId="25D2703B" w14:textId="3A407E57" w:rsidR="0045693B" w:rsidRDefault="0068243E" w:rsidP="0045693B">
            <w:r>
              <w:t xml:space="preserve">As you begin to assess your community’s digital equity and inclusion ecosystem, it’s important to identify local community organizations or coalitions that share a strong interest in digital equity. </w:t>
            </w:r>
            <w:r w:rsidRPr="00A8572A">
              <w:rPr>
                <w:b/>
                <w:bCs/>
              </w:rPr>
              <w:t>Begin by brainstorming a list of organizations</w:t>
            </w:r>
            <w:r w:rsidR="00A8572A" w:rsidRPr="00A8572A">
              <w:rPr>
                <w:b/>
                <w:bCs/>
              </w:rPr>
              <w:t xml:space="preserve"> </w:t>
            </w:r>
            <w:r w:rsidRPr="00A8572A">
              <w:rPr>
                <w:b/>
                <w:bCs/>
              </w:rPr>
              <w:t>to approach to learn more about their work around digital inclusion</w:t>
            </w:r>
            <w:r>
              <w:t xml:space="preserve">. </w:t>
            </w:r>
            <w:r w:rsidR="0045693B">
              <w:t>For an extended list of options, review potential partners for collaboration in WebJunction’s</w:t>
            </w:r>
            <w:hyperlink r:id="rId9">
              <w:r w:rsidR="0045693B">
                <w:t xml:space="preserve"> </w:t>
              </w:r>
            </w:hyperlink>
            <w:hyperlink r:id="rId10">
              <w:r w:rsidR="0045693B">
                <w:rPr>
                  <w:color w:val="1155CC"/>
                  <w:u w:val="single"/>
                </w:rPr>
                <w:t>Community Partnership and Collaboration Guide</w:t>
              </w:r>
            </w:hyperlink>
            <w:r w:rsidR="0045693B">
              <w:t>.</w:t>
            </w:r>
            <w:r>
              <w:t xml:space="preserve"> Keep in mind that there are a number of different ways to partner throughout these efforts, from </w:t>
            </w:r>
            <w:r w:rsidR="00A8572A">
              <w:t xml:space="preserve">assessment to funding and from </w:t>
            </w:r>
            <w:r>
              <w:t>equipment to marketing</w:t>
            </w:r>
            <w:r w:rsidR="00A8572A">
              <w:t xml:space="preserve">. </w:t>
            </w:r>
            <w:r w:rsidR="00983862">
              <w:t>Identify a point of contact at the potential organization and consider the various angles for collaboration.</w:t>
            </w:r>
          </w:p>
          <w:p w14:paraId="72544470" w14:textId="6589A022" w:rsidR="0045693B" w:rsidRDefault="0045693B" w:rsidP="0091533D"/>
          <w:p w14:paraId="6BD11E54" w14:textId="77777777" w:rsidR="00A8572A" w:rsidRDefault="00A8572A" w:rsidP="00A8572A">
            <w:pPr>
              <w:pStyle w:val="ListParagraph"/>
              <w:numPr>
                <w:ilvl w:val="0"/>
                <w:numId w:val="11"/>
              </w:numPr>
            </w:pPr>
          </w:p>
          <w:p w14:paraId="6FDF1089" w14:textId="425D78ED" w:rsidR="0045693B" w:rsidRDefault="0045693B" w:rsidP="0091533D"/>
          <w:p w14:paraId="16F505F9" w14:textId="50F2EE2F" w:rsidR="00A8572A" w:rsidRDefault="00A8572A" w:rsidP="0091533D"/>
          <w:p w14:paraId="12A85AEB" w14:textId="5FB494AE" w:rsidR="00A8572A" w:rsidRDefault="00A8572A" w:rsidP="0091533D"/>
          <w:p w14:paraId="2DB8B09A" w14:textId="7AB15474" w:rsidR="00A8572A" w:rsidRDefault="00A8572A" w:rsidP="00A8572A">
            <w:pPr>
              <w:pStyle w:val="ListParagraph"/>
              <w:numPr>
                <w:ilvl w:val="0"/>
                <w:numId w:val="11"/>
              </w:numPr>
            </w:pPr>
          </w:p>
          <w:p w14:paraId="0001D676" w14:textId="618D2B22" w:rsidR="00A8572A" w:rsidRDefault="00A8572A" w:rsidP="00A8572A"/>
          <w:p w14:paraId="7FBC8F04" w14:textId="77777777" w:rsidR="00A8572A" w:rsidRDefault="00A8572A" w:rsidP="00A8572A"/>
          <w:p w14:paraId="1F3CEF31" w14:textId="7FB0F247" w:rsidR="00A8572A" w:rsidRDefault="00A8572A" w:rsidP="00A8572A"/>
          <w:p w14:paraId="2A33431B" w14:textId="103E8084" w:rsidR="006D39D0" w:rsidRDefault="006D39D0" w:rsidP="00A8572A">
            <w:pPr>
              <w:pStyle w:val="ListParagraph"/>
              <w:numPr>
                <w:ilvl w:val="0"/>
                <w:numId w:val="11"/>
              </w:numPr>
            </w:pPr>
          </w:p>
          <w:p w14:paraId="54F1219B" w14:textId="77777777" w:rsidR="006D39D0" w:rsidRDefault="006D39D0">
            <w:pPr>
              <w:rPr>
                <w:sz w:val="24"/>
                <w:szCs w:val="24"/>
              </w:rPr>
            </w:pPr>
          </w:p>
          <w:p w14:paraId="1CE45EC2" w14:textId="77777777" w:rsidR="00E6622D" w:rsidRDefault="00E6622D">
            <w:pPr>
              <w:rPr>
                <w:sz w:val="24"/>
                <w:szCs w:val="24"/>
              </w:rPr>
            </w:pPr>
          </w:p>
          <w:p w14:paraId="4293AF2E" w14:textId="77777777" w:rsidR="00E6622D" w:rsidRDefault="00E6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814D37" w14:textId="77777777" w:rsidR="00E6622D" w:rsidRDefault="00E66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2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8"/>
      </w:tblGrid>
      <w:tr w:rsidR="00E6622D" w14:paraId="46EBB678" w14:textId="77777777">
        <w:trPr>
          <w:trHeight w:val="530"/>
        </w:trPr>
        <w:tc>
          <w:tcPr>
            <w:tcW w:w="9558" w:type="dxa"/>
            <w:shd w:val="clear" w:color="auto" w:fill="008DCF"/>
            <w:vAlign w:val="center"/>
          </w:tcPr>
          <w:p w14:paraId="247C12D8" w14:textId="27146918" w:rsidR="00E6622D" w:rsidRDefault="00A8572A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Prioritize Goals and Aspirations</w:t>
            </w:r>
          </w:p>
        </w:tc>
      </w:tr>
      <w:tr w:rsidR="00E6622D" w14:paraId="0721818E" w14:textId="77777777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14:paraId="3989F600" w14:textId="14677587" w:rsidR="00A8572A" w:rsidRDefault="00FF0609" w:rsidP="00A8572A">
            <w:r>
              <w:t xml:space="preserve">In discussions and shared learning with community organizations, work toward </w:t>
            </w:r>
            <w:r w:rsidRPr="00FF0609">
              <w:rPr>
                <w:b/>
                <w:bCs/>
              </w:rPr>
              <w:t>prioritizing goals and aspirations</w:t>
            </w:r>
            <w:r>
              <w:t xml:space="preserve"> related to digital equity</w:t>
            </w:r>
            <w:r w:rsidR="00937A03">
              <w:t xml:space="preserve"> in your community. </w:t>
            </w:r>
            <w:r w:rsidR="00A8572A">
              <w:t>How do you know these</w:t>
            </w:r>
            <w:r w:rsidR="003B38B9">
              <w:t xml:space="preserve"> priorities</w:t>
            </w:r>
            <w:r w:rsidR="00A8572A">
              <w:t xml:space="preserve"> are important</w:t>
            </w:r>
            <w:r w:rsidR="00983862">
              <w:t>?</w:t>
            </w:r>
            <w:r w:rsidR="00937A03">
              <w:t xml:space="preserve"> </w:t>
            </w:r>
            <w:r w:rsidR="003B38B9">
              <w:t>Where do</w:t>
            </w:r>
            <w:r w:rsidR="00937A03">
              <w:t xml:space="preserve"> they overlap with community-wide priorities, or those of partner organizations</w:t>
            </w:r>
            <w:r w:rsidR="003B38B9">
              <w:t xml:space="preserve">? Which information or data was used to inform decisions around priorities? </w:t>
            </w:r>
          </w:p>
          <w:p w14:paraId="0132C4B9" w14:textId="13B1A734" w:rsidR="00937A03" w:rsidRDefault="00937A03" w:rsidP="00A8572A"/>
          <w:p w14:paraId="21684000" w14:textId="4B42FF3F" w:rsidR="00937A03" w:rsidRDefault="003B38B9" w:rsidP="003B38B9">
            <w:pPr>
              <w:ind w:left="720"/>
            </w:pPr>
            <w:r>
              <w:t>Priority 1:</w:t>
            </w:r>
          </w:p>
          <w:p w14:paraId="431394CF" w14:textId="77777777" w:rsidR="00937A03" w:rsidRDefault="00937A03" w:rsidP="00A8572A"/>
          <w:p w14:paraId="7CAF245B" w14:textId="60146C72" w:rsidR="00A8572A" w:rsidRDefault="00A8572A" w:rsidP="00A8572A"/>
          <w:p w14:paraId="0A91384B" w14:textId="77777777" w:rsidR="00D80565" w:rsidRDefault="00D80565" w:rsidP="00A8572A"/>
          <w:p w14:paraId="5FE74235" w14:textId="77777777" w:rsidR="003B38B9" w:rsidRDefault="003B38B9" w:rsidP="00A8572A"/>
          <w:p w14:paraId="4F4A8060" w14:textId="782BAFF9" w:rsidR="00895ABE" w:rsidRDefault="00895ABE" w:rsidP="0089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7E0152E" w14:textId="6D6742C8" w:rsidR="00E6622D" w:rsidRDefault="003B38B9" w:rsidP="003B38B9">
            <w:pPr>
              <w:ind w:left="720"/>
            </w:pPr>
            <w:r>
              <w:t xml:space="preserve">Priority 2: </w:t>
            </w:r>
          </w:p>
          <w:p w14:paraId="2D79DA35" w14:textId="36B4FE4B" w:rsidR="003B38B9" w:rsidRDefault="003B38B9" w:rsidP="003B38B9">
            <w:pPr>
              <w:ind w:left="720"/>
            </w:pPr>
          </w:p>
          <w:p w14:paraId="3CFDF050" w14:textId="45E3E6E3" w:rsidR="003B38B9" w:rsidRDefault="003B38B9" w:rsidP="003B38B9"/>
          <w:p w14:paraId="531D6110" w14:textId="77777777" w:rsidR="003B38B9" w:rsidRDefault="003B38B9" w:rsidP="003B38B9"/>
          <w:p w14:paraId="341CC703" w14:textId="002957C9" w:rsidR="00E6622D" w:rsidRDefault="00E6622D" w:rsidP="00895ABE"/>
          <w:p w14:paraId="4D1978E2" w14:textId="77777777" w:rsidR="00D80565" w:rsidRPr="00895ABE" w:rsidRDefault="00D80565" w:rsidP="00895ABE"/>
          <w:p w14:paraId="4F0B7F5A" w14:textId="77777777" w:rsidR="00E6622D" w:rsidRDefault="00E6622D">
            <w:pPr>
              <w:rPr>
                <w:sz w:val="24"/>
                <w:szCs w:val="24"/>
              </w:rPr>
            </w:pPr>
          </w:p>
        </w:tc>
      </w:tr>
      <w:tr w:rsidR="00E6622D" w14:paraId="177C60BE" w14:textId="77777777">
        <w:trPr>
          <w:trHeight w:val="539"/>
        </w:trPr>
        <w:tc>
          <w:tcPr>
            <w:tcW w:w="9558" w:type="dxa"/>
            <w:shd w:val="clear" w:color="auto" w:fill="008DCF"/>
            <w:vAlign w:val="center"/>
          </w:tcPr>
          <w:p w14:paraId="2B73E09B" w14:textId="673E38A1" w:rsidR="00E6622D" w:rsidRDefault="00937A03">
            <w:pPr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Programming and Service Responses</w:t>
            </w:r>
          </w:p>
        </w:tc>
      </w:tr>
      <w:tr w:rsidR="00E6622D" w14:paraId="7BBFC72F" w14:textId="77777777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14:paraId="28AF2935" w14:textId="7E6538D1" w:rsidR="004B5F39" w:rsidRDefault="00A8572A" w:rsidP="00FE7AE9">
            <w:r>
              <w:t>Research how another library has put together a program</w:t>
            </w:r>
            <w:r w:rsidR="00937A03">
              <w:t xml:space="preserve"> or service</w:t>
            </w:r>
            <w:r>
              <w:t xml:space="preserve"> that </w:t>
            </w:r>
            <w:r w:rsidR="003B38B9">
              <w:t>can respond to the community priorities identified above.</w:t>
            </w:r>
            <w:r w:rsidR="00937A03">
              <w:t xml:space="preserve"> Examples from Dr </w:t>
            </w:r>
            <w:proofErr w:type="spellStart"/>
            <w:r w:rsidR="004B5F39">
              <w:t>Barbakoff’s</w:t>
            </w:r>
            <w:proofErr w:type="spellEnd"/>
            <w:r w:rsidR="004B5F39">
              <w:t xml:space="preserve"> examples include:</w:t>
            </w:r>
          </w:p>
          <w:p w14:paraId="2845A18E" w14:textId="359C294B" w:rsidR="004B5F39" w:rsidRDefault="00950034" w:rsidP="004B5F39">
            <w:pPr>
              <w:pStyle w:val="ListParagraph"/>
              <w:numPr>
                <w:ilvl w:val="0"/>
                <w:numId w:val="12"/>
              </w:numPr>
            </w:pPr>
            <w:hyperlink r:id="rId11" w:history="1">
              <w:r w:rsidR="004B5F39">
                <w:rPr>
                  <w:rStyle w:val="Hyperlink"/>
                </w:rPr>
                <w:t>Digital Navigators Toolkit</w:t>
              </w:r>
            </w:hyperlink>
            <w:r w:rsidR="004B5F39">
              <w:t xml:space="preserve"> (pdf) </w:t>
            </w:r>
            <w:r w:rsidR="00A8572A">
              <w:t>from NDIA</w:t>
            </w:r>
          </w:p>
          <w:p w14:paraId="42E904DA" w14:textId="0CFCCF96" w:rsidR="004B5F39" w:rsidRDefault="00950034" w:rsidP="004B5F39">
            <w:pPr>
              <w:pStyle w:val="ListParagraph"/>
              <w:numPr>
                <w:ilvl w:val="0"/>
                <w:numId w:val="12"/>
              </w:numPr>
            </w:pPr>
            <w:hyperlink r:id="rId12" w:history="1">
              <w:r w:rsidR="004B5F39" w:rsidRPr="004B5F39">
                <w:rPr>
                  <w:rStyle w:val="Hyperlink"/>
                </w:rPr>
                <w:t>Hot Spots Help Span the Digital Divide</w:t>
              </w:r>
            </w:hyperlink>
            <w:r w:rsidR="004B5F39">
              <w:t xml:space="preserve"> (KCLS)</w:t>
            </w:r>
          </w:p>
          <w:p w14:paraId="2B1A227B" w14:textId="2F858245" w:rsidR="004B5F39" w:rsidRDefault="00950034" w:rsidP="004B5F39">
            <w:pPr>
              <w:pStyle w:val="ListParagraph"/>
              <w:numPr>
                <w:ilvl w:val="0"/>
                <w:numId w:val="12"/>
              </w:numPr>
            </w:pPr>
            <w:hyperlink r:id="rId13" w:history="1">
              <w:r w:rsidR="004B5F39" w:rsidRPr="004B5F39">
                <w:rPr>
                  <w:rStyle w:val="Hyperlink"/>
                </w:rPr>
                <w:t>Telehealth at the Library</w:t>
              </w:r>
            </w:hyperlink>
            <w:r w:rsidR="004B5F39">
              <w:t xml:space="preserve"> (see community of practice)</w:t>
            </w:r>
          </w:p>
          <w:p w14:paraId="1F23B78A" w14:textId="15066EA2" w:rsidR="004B5F39" w:rsidRDefault="00950034" w:rsidP="004B5F39">
            <w:pPr>
              <w:pStyle w:val="ListParagraph"/>
              <w:numPr>
                <w:ilvl w:val="0"/>
                <w:numId w:val="12"/>
              </w:numPr>
            </w:pPr>
            <w:hyperlink r:id="rId14" w:history="1">
              <w:r w:rsidR="004B5F39" w:rsidRPr="004B5F39">
                <w:rPr>
                  <w:rStyle w:val="Hyperlink"/>
                </w:rPr>
                <w:t>Teaching Patrons</w:t>
              </w:r>
            </w:hyperlink>
            <w:r w:rsidR="004B5F39">
              <w:t xml:space="preserve"> (WebJunction articles and resources)</w:t>
            </w:r>
          </w:p>
          <w:p w14:paraId="4687EA8F" w14:textId="77777777" w:rsidR="004B5F39" w:rsidRDefault="004B5F39" w:rsidP="004B5F39"/>
          <w:p w14:paraId="123011A3" w14:textId="77777777" w:rsidR="004B5F39" w:rsidRDefault="004B5F39" w:rsidP="004B5F39">
            <w:r>
              <w:t xml:space="preserve">Possible programs/services for our library (for each response, consider the </w:t>
            </w:r>
            <w:r w:rsidR="00A8572A">
              <w:t>resources would you need to replicate this program</w:t>
            </w:r>
            <w:r>
              <w:t xml:space="preserve"> and how you might adapt it to work in your community):</w:t>
            </w:r>
          </w:p>
          <w:p w14:paraId="73C152FD" w14:textId="189C1E57" w:rsidR="004B5F39" w:rsidRDefault="004B5F39" w:rsidP="004B5F39"/>
          <w:p w14:paraId="3844B9DC" w14:textId="77777777" w:rsidR="004B5F39" w:rsidRDefault="004B5F39" w:rsidP="004B5F39"/>
          <w:p w14:paraId="55F00AA9" w14:textId="62C1D0DB" w:rsidR="004B5F39" w:rsidRDefault="004B5F39" w:rsidP="004B5F39">
            <w:pPr>
              <w:pStyle w:val="ListParagraph"/>
              <w:numPr>
                <w:ilvl w:val="0"/>
                <w:numId w:val="13"/>
              </w:numPr>
            </w:pPr>
          </w:p>
          <w:p w14:paraId="58760879" w14:textId="44E72BC4" w:rsidR="004B5F39" w:rsidRDefault="004B5F39" w:rsidP="004B5F39"/>
          <w:p w14:paraId="7386E214" w14:textId="77777777" w:rsidR="004B5F39" w:rsidRDefault="004B5F39" w:rsidP="004B5F39"/>
          <w:p w14:paraId="1EB8E0FE" w14:textId="77777777" w:rsidR="004B5F39" w:rsidRDefault="004B5F39" w:rsidP="004B5F39"/>
          <w:p w14:paraId="01A6CB71" w14:textId="63C3C9FA" w:rsidR="00FE7AE9" w:rsidRDefault="00FE7AE9" w:rsidP="004B5F39">
            <w:pPr>
              <w:pStyle w:val="ListParagraph"/>
              <w:numPr>
                <w:ilvl w:val="0"/>
                <w:numId w:val="13"/>
              </w:numPr>
            </w:pPr>
          </w:p>
          <w:p w14:paraId="6E03EA37" w14:textId="03CD999B" w:rsidR="00D373D1" w:rsidRDefault="00D373D1" w:rsidP="00FE7AE9"/>
          <w:p w14:paraId="3FC6B3A9" w14:textId="77777777" w:rsidR="004B5F39" w:rsidRDefault="004B5F39" w:rsidP="00FE7AE9"/>
          <w:p w14:paraId="53A46337" w14:textId="647F188F" w:rsidR="00D104ED" w:rsidRDefault="00D104ED" w:rsidP="00D104ED"/>
          <w:p w14:paraId="1CDABC37" w14:textId="72C79569" w:rsidR="00E6622D" w:rsidRPr="004B5F39" w:rsidRDefault="00E6622D" w:rsidP="004B5F3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83807AF" w14:textId="3988ED8A" w:rsidR="00D104ED" w:rsidRDefault="00D1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FDDA080" w14:textId="54634257" w:rsidR="004B5F39" w:rsidRDefault="004B5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EF4D666" w14:textId="77777777" w:rsidR="004B5F39" w:rsidRDefault="004B5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55FEACE" w14:textId="77777777" w:rsidR="00E6622D" w:rsidRDefault="00E6622D">
            <w:pPr>
              <w:rPr>
                <w:sz w:val="24"/>
                <w:szCs w:val="24"/>
              </w:rPr>
            </w:pPr>
          </w:p>
        </w:tc>
      </w:tr>
      <w:tr w:rsidR="00E6622D" w14:paraId="3187B443" w14:textId="77777777">
        <w:trPr>
          <w:trHeight w:val="638"/>
        </w:trPr>
        <w:tc>
          <w:tcPr>
            <w:tcW w:w="9558" w:type="dxa"/>
            <w:shd w:val="clear" w:color="auto" w:fill="008DCF"/>
            <w:vAlign w:val="center"/>
          </w:tcPr>
          <w:p w14:paraId="2B2B2719" w14:textId="77777777" w:rsidR="00E6622D" w:rsidRDefault="00B365CD">
            <w:pPr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Action Plan: (include next steps, who,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when,</w:t>
            </w:r>
            <w:proofErr w:type="gramEnd"/>
            <w:r>
              <w:rPr>
                <w:b/>
                <w:color w:val="FFFFFF"/>
                <w:sz w:val="24"/>
                <w:szCs w:val="24"/>
              </w:rPr>
              <w:t xml:space="preserve"> etc.)</w:t>
            </w:r>
          </w:p>
        </w:tc>
      </w:tr>
      <w:tr w:rsidR="00E6622D" w14:paraId="363A42E3" w14:textId="77777777" w:rsidTr="006262C9">
        <w:trPr>
          <w:trHeight w:val="7901"/>
        </w:trPr>
        <w:tc>
          <w:tcPr>
            <w:tcW w:w="9558" w:type="dxa"/>
            <w:shd w:val="clear" w:color="auto" w:fill="auto"/>
            <w:vAlign w:val="center"/>
          </w:tcPr>
          <w:p w14:paraId="3E1B4170" w14:textId="77777777" w:rsidR="00E6622D" w:rsidRDefault="00E6622D"/>
          <w:p w14:paraId="36AA2A06" w14:textId="77777777" w:rsidR="00E6622D" w:rsidRDefault="00E6622D">
            <w:pPr>
              <w:ind w:left="720"/>
            </w:pPr>
          </w:p>
          <w:p w14:paraId="391AF4D5" w14:textId="77777777" w:rsidR="00E6622D" w:rsidRDefault="00E6622D">
            <w:pPr>
              <w:ind w:left="720"/>
            </w:pPr>
          </w:p>
          <w:p w14:paraId="5A2F6240" w14:textId="77777777" w:rsidR="00E6622D" w:rsidRDefault="00E6622D">
            <w:pPr>
              <w:ind w:left="720"/>
            </w:pPr>
          </w:p>
          <w:p w14:paraId="66D9070A" w14:textId="77777777" w:rsidR="00E6622D" w:rsidRDefault="00E6622D">
            <w:pPr>
              <w:ind w:left="720"/>
            </w:pPr>
          </w:p>
          <w:p w14:paraId="2EF00A03" w14:textId="77777777" w:rsidR="00E6622D" w:rsidRDefault="00E6622D">
            <w:pPr>
              <w:ind w:left="720"/>
            </w:pPr>
          </w:p>
          <w:p w14:paraId="49BCE6D6" w14:textId="77777777" w:rsidR="00E6622D" w:rsidRDefault="00E6622D">
            <w:pPr>
              <w:ind w:left="720"/>
            </w:pPr>
          </w:p>
          <w:p w14:paraId="6EF08019" w14:textId="77777777" w:rsidR="00E6622D" w:rsidRDefault="00E6622D">
            <w:pPr>
              <w:ind w:left="720"/>
            </w:pPr>
          </w:p>
          <w:p w14:paraId="1B6F2F8D" w14:textId="77777777" w:rsidR="00E6622D" w:rsidRDefault="00E6622D">
            <w:pPr>
              <w:ind w:left="720"/>
            </w:pPr>
          </w:p>
          <w:p w14:paraId="1380006E" w14:textId="77777777" w:rsidR="00E6622D" w:rsidRDefault="00E6622D">
            <w:pPr>
              <w:ind w:left="720"/>
            </w:pPr>
          </w:p>
          <w:p w14:paraId="309D2506" w14:textId="77777777" w:rsidR="00E6622D" w:rsidRDefault="00E6622D">
            <w:pPr>
              <w:ind w:left="720"/>
            </w:pPr>
          </w:p>
          <w:p w14:paraId="17A21F57" w14:textId="77777777" w:rsidR="00E6622D" w:rsidRDefault="00E6622D">
            <w:pPr>
              <w:ind w:left="720"/>
            </w:pPr>
          </w:p>
          <w:p w14:paraId="4198FD02" w14:textId="77777777" w:rsidR="00E6622D" w:rsidRDefault="00E6622D">
            <w:pPr>
              <w:ind w:left="720"/>
            </w:pPr>
          </w:p>
          <w:p w14:paraId="252F1C9B" w14:textId="77777777" w:rsidR="00E6622D" w:rsidRDefault="00E6622D">
            <w:pPr>
              <w:ind w:left="720"/>
            </w:pPr>
          </w:p>
          <w:p w14:paraId="1B6928D9" w14:textId="77777777" w:rsidR="00E6622D" w:rsidRDefault="00E6622D">
            <w:pPr>
              <w:ind w:left="720"/>
            </w:pPr>
          </w:p>
          <w:p w14:paraId="2C50CBB3" w14:textId="77777777" w:rsidR="00E6622D" w:rsidRDefault="00E6622D">
            <w:pPr>
              <w:ind w:left="720"/>
            </w:pPr>
          </w:p>
          <w:p w14:paraId="32A354B7" w14:textId="77777777" w:rsidR="00E6622D" w:rsidRDefault="00E6622D">
            <w:pPr>
              <w:ind w:left="720"/>
            </w:pPr>
          </w:p>
          <w:p w14:paraId="3EF5BD48" w14:textId="77777777" w:rsidR="00E6622D" w:rsidRDefault="00E6622D">
            <w:pPr>
              <w:ind w:left="720"/>
            </w:pPr>
          </w:p>
          <w:p w14:paraId="746B53F6" w14:textId="77777777" w:rsidR="00E6622D" w:rsidRDefault="00E6622D"/>
          <w:p w14:paraId="5480F848" w14:textId="77777777" w:rsidR="00E6622D" w:rsidRDefault="00E6622D"/>
          <w:p w14:paraId="72C1BBFE" w14:textId="77777777" w:rsidR="00E6622D" w:rsidRDefault="00E6622D">
            <w:pPr>
              <w:ind w:left="720"/>
            </w:pPr>
          </w:p>
          <w:p w14:paraId="0D55F750" w14:textId="77777777" w:rsidR="00E6622D" w:rsidRDefault="00E6622D">
            <w:pPr>
              <w:ind w:left="720"/>
            </w:pPr>
          </w:p>
          <w:p w14:paraId="35FD6B3D" w14:textId="77777777" w:rsidR="00E6622D" w:rsidRDefault="00E6622D">
            <w:pPr>
              <w:ind w:left="720"/>
            </w:pPr>
          </w:p>
          <w:p w14:paraId="5607DF52" w14:textId="77777777" w:rsidR="00E6622D" w:rsidRDefault="00E6622D">
            <w:pPr>
              <w:ind w:left="720"/>
            </w:pPr>
          </w:p>
          <w:p w14:paraId="070F36AB" w14:textId="77777777" w:rsidR="00E6622D" w:rsidRDefault="00E6622D">
            <w:pPr>
              <w:ind w:left="720"/>
            </w:pPr>
          </w:p>
          <w:p w14:paraId="3967D820" w14:textId="77777777" w:rsidR="00E6622D" w:rsidRDefault="00E6622D">
            <w:pPr>
              <w:rPr>
                <w:sz w:val="24"/>
                <w:szCs w:val="24"/>
              </w:rPr>
            </w:pPr>
          </w:p>
          <w:p w14:paraId="721AA604" w14:textId="77777777" w:rsidR="004B5F39" w:rsidRDefault="004B5F39">
            <w:pPr>
              <w:rPr>
                <w:sz w:val="24"/>
                <w:szCs w:val="24"/>
              </w:rPr>
            </w:pPr>
          </w:p>
          <w:p w14:paraId="0D953468" w14:textId="77777777" w:rsidR="004B5F39" w:rsidRDefault="004B5F39">
            <w:pPr>
              <w:rPr>
                <w:sz w:val="24"/>
                <w:szCs w:val="24"/>
              </w:rPr>
            </w:pPr>
          </w:p>
          <w:p w14:paraId="42F9C2F4" w14:textId="77777777" w:rsidR="004B5F39" w:rsidRDefault="004B5F39">
            <w:pPr>
              <w:rPr>
                <w:sz w:val="24"/>
                <w:szCs w:val="24"/>
              </w:rPr>
            </w:pPr>
          </w:p>
          <w:p w14:paraId="094A7E0F" w14:textId="77777777" w:rsidR="004B5F39" w:rsidRDefault="004B5F39">
            <w:pPr>
              <w:rPr>
                <w:sz w:val="24"/>
                <w:szCs w:val="24"/>
              </w:rPr>
            </w:pPr>
          </w:p>
          <w:p w14:paraId="744F61C9" w14:textId="77777777" w:rsidR="004B5F39" w:rsidRDefault="004B5F39">
            <w:pPr>
              <w:rPr>
                <w:sz w:val="24"/>
                <w:szCs w:val="24"/>
              </w:rPr>
            </w:pPr>
          </w:p>
          <w:p w14:paraId="2B9E641A" w14:textId="77777777" w:rsidR="004B5F39" w:rsidRDefault="004B5F39">
            <w:pPr>
              <w:rPr>
                <w:sz w:val="24"/>
                <w:szCs w:val="24"/>
              </w:rPr>
            </w:pPr>
          </w:p>
          <w:p w14:paraId="345C2FDC" w14:textId="77777777" w:rsidR="004B5F39" w:rsidRDefault="004B5F39">
            <w:pPr>
              <w:rPr>
                <w:sz w:val="24"/>
                <w:szCs w:val="24"/>
              </w:rPr>
            </w:pPr>
          </w:p>
          <w:p w14:paraId="0489D746" w14:textId="77777777" w:rsidR="004B5F39" w:rsidRDefault="004B5F39">
            <w:pPr>
              <w:rPr>
                <w:sz w:val="24"/>
                <w:szCs w:val="24"/>
              </w:rPr>
            </w:pPr>
          </w:p>
          <w:p w14:paraId="208896C4" w14:textId="77777777" w:rsidR="004B5F39" w:rsidRDefault="004B5F39">
            <w:pPr>
              <w:rPr>
                <w:sz w:val="24"/>
                <w:szCs w:val="24"/>
              </w:rPr>
            </w:pPr>
          </w:p>
          <w:p w14:paraId="06EB944C" w14:textId="77777777" w:rsidR="004B5F39" w:rsidRDefault="004B5F39">
            <w:pPr>
              <w:rPr>
                <w:sz w:val="24"/>
                <w:szCs w:val="24"/>
              </w:rPr>
            </w:pPr>
          </w:p>
          <w:p w14:paraId="4CFCF218" w14:textId="77777777" w:rsidR="004B5F39" w:rsidRDefault="004B5F39">
            <w:pPr>
              <w:rPr>
                <w:sz w:val="24"/>
                <w:szCs w:val="24"/>
              </w:rPr>
            </w:pPr>
          </w:p>
          <w:p w14:paraId="232B8A84" w14:textId="77777777" w:rsidR="004B5F39" w:rsidRDefault="004B5F39">
            <w:pPr>
              <w:rPr>
                <w:sz w:val="24"/>
                <w:szCs w:val="24"/>
              </w:rPr>
            </w:pPr>
          </w:p>
          <w:p w14:paraId="030BF64E" w14:textId="77777777" w:rsidR="004B5F39" w:rsidRDefault="004B5F39">
            <w:pPr>
              <w:rPr>
                <w:sz w:val="24"/>
                <w:szCs w:val="24"/>
              </w:rPr>
            </w:pPr>
          </w:p>
          <w:p w14:paraId="557F9171" w14:textId="77777777" w:rsidR="004B5F39" w:rsidRDefault="004B5F39">
            <w:pPr>
              <w:rPr>
                <w:sz w:val="24"/>
                <w:szCs w:val="24"/>
              </w:rPr>
            </w:pPr>
          </w:p>
          <w:p w14:paraId="608A2A9E" w14:textId="77777777" w:rsidR="004B5F39" w:rsidRDefault="004B5F39">
            <w:pPr>
              <w:rPr>
                <w:sz w:val="24"/>
                <w:szCs w:val="24"/>
              </w:rPr>
            </w:pPr>
          </w:p>
          <w:p w14:paraId="6DB0E47B" w14:textId="19FB80D5" w:rsidR="004B5F39" w:rsidRDefault="004B5F39">
            <w:pPr>
              <w:rPr>
                <w:sz w:val="24"/>
                <w:szCs w:val="24"/>
              </w:rPr>
            </w:pPr>
          </w:p>
        </w:tc>
      </w:tr>
    </w:tbl>
    <w:p w14:paraId="7424D035" w14:textId="77777777" w:rsidR="00E6622D" w:rsidRDefault="00E6622D">
      <w:pPr>
        <w:spacing w:line="240" w:lineRule="auto"/>
        <w:rPr>
          <w:sz w:val="24"/>
          <w:szCs w:val="24"/>
        </w:rPr>
      </w:pPr>
    </w:p>
    <w:sectPr w:rsidR="00E6622D">
      <w:headerReference w:type="default" r:id="rId15"/>
      <w:footerReference w:type="default" r:id="rId16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B9C1B" w14:textId="77777777" w:rsidR="00950034" w:rsidRDefault="00950034">
      <w:pPr>
        <w:spacing w:after="0" w:line="240" w:lineRule="auto"/>
      </w:pPr>
      <w:r>
        <w:separator/>
      </w:r>
    </w:p>
  </w:endnote>
  <w:endnote w:type="continuationSeparator" w:id="0">
    <w:p w14:paraId="2298F871" w14:textId="77777777" w:rsidR="00950034" w:rsidRDefault="0095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60B77" w14:textId="77777777" w:rsidR="00E6622D" w:rsidRDefault="00B36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Graphik Regular" w:eastAsia="Graphik Regular" w:hAnsi="Graphik Regular" w:cs="Graphik Regular"/>
        <w:color w:val="000000"/>
        <w:sz w:val="18"/>
        <w:szCs w:val="18"/>
      </w:rPr>
      <w:fldChar w:fldCharType="begin"/>
    </w:r>
    <w:r>
      <w:rPr>
        <w:rFonts w:ascii="Graphik Regular" w:eastAsia="Graphik Regular" w:hAnsi="Graphik Regular" w:cs="Graphik Regular"/>
        <w:color w:val="000000"/>
        <w:sz w:val="18"/>
        <w:szCs w:val="18"/>
      </w:rPr>
      <w:instrText>PAGE</w:instrText>
    </w:r>
    <w:r>
      <w:rPr>
        <w:rFonts w:ascii="Graphik Regular" w:eastAsia="Graphik Regular" w:hAnsi="Graphik Regular" w:cs="Graphik Regular"/>
        <w:color w:val="000000"/>
        <w:sz w:val="18"/>
        <w:szCs w:val="18"/>
      </w:rPr>
      <w:fldChar w:fldCharType="separate"/>
    </w:r>
    <w:r w:rsidR="00A052B9">
      <w:rPr>
        <w:rFonts w:ascii="Graphik Regular" w:eastAsia="Graphik Regular" w:hAnsi="Graphik Regular" w:cs="Graphik Regular"/>
        <w:noProof/>
        <w:color w:val="000000"/>
        <w:sz w:val="18"/>
        <w:szCs w:val="18"/>
      </w:rPr>
      <w:t>1</w:t>
    </w:r>
    <w:r>
      <w:rPr>
        <w:rFonts w:ascii="Graphik Regular" w:eastAsia="Graphik Regular" w:hAnsi="Graphik Regular" w:cs="Graphik Regular"/>
        <w:color w:val="000000"/>
        <w:sz w:val="18"/>
        <w:szCs w:val="18"/>
      </w:rPr>
      <w:fldChar w:fldCharType="end"/>
    </w:r>
  </w:p>
  <w:p w14:paraId="0252A9CD" w14:textId="77777777" w:rsidR="00E6622D" w:rsidRDefault="00E662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1342B" w14:textId="77777777" w:rsidR="00950034" w:rsidRDefault="00950034">
      <w:pPr>
        <w:spacing w:after="0" w:line="240" w:lineRule="auto"/>
      </w:pPr>
      <w:r>
        <w:separator/>
      </w:r>
    </w:p>
  </w:footnote>
  <w:footnote w:type="continuationSeparator" w:id="0">
    <w:p w14:paraId="1D845BA6" w14:textId="77777777" w:rsidR="00950034" w:rsidRDefault="0095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30A2" w14:textId="77777777" w:rsidR="00E6622D" w:rsidRDefault="00B36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Cambria" w:eastAsia="Cambria" w:hAnsi="Cambria" w:cs="Cambria"/>
        <w:b/>
        <w:noProof/>
        <w:color w:val="366091"/>
        <w:sz w:val="28"/>
        <w:szCs w:val="28"/>
      </w:rPr>
      <w:drawing>
        <wp:inline distT="0" distB="0" distL="0" distR="0" wp14:anchorId="0EA0ED66" wp14:editId="4EC02DA8">
          <wp:extent cx="2120287" cy="560385"/>
          <wp:effectExtent l="0" t="0" r="0" b="0"/>
          <wp:docPr id="5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287" cy="56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145F"/>
    <w:multiLevelType w:val="hybridMultilevel"/>
    <w:tmpl w:val="4FCE2282"/>
    <w:lvl w:ilvl="0" w:tplc="20E693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1DE08BF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8F74D3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E4F8A3F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F3127AE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2FD2F1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61B23E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1EA04F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CF1284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1" w15:restartNumberingAfterBreak="0">
    <w:nsid w:val="0BA264CC"/>
    <w:multiLevelType w:val="hybridMultilevel"/>
    <w:tmpl w:val="73864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17E9"/>
    <w:multiLevelType w:val="multilevel"/>
    <w:tmpl w:val="00B6C6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5B7B3E"/>
    <w:multiLevelType w:val="hybridMultilevel"/>
    <w:tmpl w:val="AFBEA32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304F742C"/>
    <w:multiLevelType w:val="hybridMultilevel"/>
    <w:tmpl w:val="2DA8C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1850"/>
    <w:multiLevelType w:val="hybridMultilevel"/>
    <w:tmpl w:val="EFCC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04B7"/>
    <w:multiLevelType w:val="hybridMultilevel"/>
    <w:tmpl w:val="1666884E"/>
    <w:lvl w:ilvl="0" w:tplc="7FE63A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0C9E4588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DB86430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72F80C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B4D6E7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DAB634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F22891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22FEF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ECCE5F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7" w15:restartNumberingAfterBreak="0">
    <w:nsid w:val="40751435"/>
    <w:multiLevelType w:val="hybridMultilevel"/>
    <w:tmpl w:val="DB74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42787"/>
    <w:multiLevelType w:val="hybridMultilevel"/>
    <w:tmpl w:val="504CD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611B8"/>
    <w:multiLevelType w:val="hybridMultilevel"/>
    <w:tmpl w:val="D542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621B3"/>
    <w:multiLevelType w:val="multilevel"/>
    <w:tmpl w:val="253CC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CB5E44"/>
    <w:multiLevelType w:val="hybridMultilevel"/>
    <w:tmpl w:val="3046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A44D6"/>
    <w:multiLevelType w:val="hybridMultilevel"/>
    <w:tmpl w:val="37EA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2D"/>
    <w:rsid w:val="0015674A"/>
    <w:rsid w:val="00194DBB"/>
    <w:rsid w:val="003B38B9"/>
    <w:rsid w:val="00434A84"/>
    <w:rsid w:val="0045693B"/>
    <w:rsid w:val="00462089"/>
    <w:rsid w:val="00472BE8"/>
    <w:rsid w:val="004B5F39"/>
    <w:rsid w:val="00561009"/>
    <w:rsid w:val="005D7CE0"/>
    <w:rsid w:val="006262C9"/>
    <w:rsid w:val="0068243E"/>
    <w:rsid w:val="006D39D0"/>
    <w:rsid w:val="007459E2"/>
    <w:rsid w:val="00895ABE"/>
    <w:rsid w:val="0091533D"/>
    <w:rsid w:val="0092038C"/>
    <w:rsid w:val="00937A03"/>
    <w:rsid w:val="00950034"/>
    <w:rsid w:val="00965B89"/>
    <w:rsid w:val="00983862"/>
    <w:rsid w:val="009B6F3A"/>
    <w:rsid w:val="009E4695"/>
    <w:rsid w:val="00A052B9"/>
    <w:rsid w:val="00A8572A"/>
    <w:rsid w:val="00A95718"/>
    <w:rsid w:val="00B365CD"/>
    <w:rsid w:val="00B6331B"/>
    <w:rsid w:val="00CE0CCE"/>
    <w:rsid w:val="00D104ED"/>
    <w:rsid w:val="00D156CB"/>
    <w:rsid w:val="00D373D1"/>
    <w:rsid w:val="00D80565"/>
    <w:rsid w:val="00E141C2"/>
    <w:rsid w:val="00E61C51"/>
    <w:rsid w:val="00E6622D"/>
    <w:rsid w:val="00E66F13"/>
    <w:rsid w:val="00F56894"/>
    <w:rsid w:val="00F9103D"/>
    <w:rsid w:val="00FE7AE9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0D72"/>
  <w15:docId w15:val="{A1834E96-94CA-4AF7-ACD9-8DBF70E3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A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D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32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D54DE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A3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1B"/>
  </w:style>
  <w:style w:type="paragraph" w:styleId="Footer">
    <w:name w:val="footer"/>
    <w:basedOn w:val="Normal"/>
    <w:link w:val="Foot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D5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64E7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1B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48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4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90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r-only">
    <w:name w:val="sr-only"/>
    <w:basedOn w:val="DefaultParagraphFont"/>
    <w:rsid w:val="000846E4"/>
  </w:style>
  <w:style w:type="character" w:customStyle="1" w:styleId="file-details">
    <w:name w:val="file-details"/>
    <w:basedOn w:val="DefaultParagraphFont"/>
    <w:rsid w:val="000846E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junction.org/events/webjunction/growing-digital-equity.html" TargetMode="External"/><Relationship Id="rId13" Type="http://schemas.openxmlformats.org/officeDocument/2006/relationships/hyperlink" Target="https://www.webjunction.org/news/webjunction/community-of-practice-for-telehealth-at-the-library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cls.org/news/hot-spots-help-span-the-digital-divid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gitalinclusion.org/wp-content/uploads/2021/09/Digital-Navigators-Toolkit-Fina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ebjunction.org/documents/webjunction/Community_Partner_Collaboration_Gui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junction.org/documents/webjunction/Community_Partner_Collaboration_Guide.html" TargetMode="External"/><Relationship Id="rId14" Type="http://schemas.openxmlformats.org/officeDocument/2006/relationships/hyperlink" Target="https://www.webjunction.org/explore-topics/patron-traini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yySFQoT1eZicTKKtvtyyW7vaNQ==">AMUW2mUtq3H0q2Y/jXKHdN8/cLOpbiYdcVZ6hGPGrniSS2xqeUyX9HyIW8nvSvMKn1GsYg6iSHfKEuefExcDrbXe3ruqBNNmTs6RhHuxnGn15sXisCiQk9k=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2</cp:revision>
  <dcterms:created xsi:type="dcterms:W3CDTF">2022-02-02T17:43:00Z</dcterms:created>
  <dcterms:modified xsi:type="dcterms:W3CDTF">2022-02-02T17:43:00Z</dcterms:modified>
</cp:coreProperties>
</file>