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6A1B8" w14:textId="77777777" w:rsidR="00E6622D" w:rsidRDefault="00B365CD">
      <w:pPr>
        <w:spacing w:after="0" w:line="240" w:lineRule="auto"/>
        <w:rPr>
          <w:b/>
          <w:color w:val="008DCF"/>
          <w:sz w:val="28"/>
          <w:szCs w:val="28"/>
        </w:rPr>
      </w:pPr>
      <w:r>
        <w:rPr>
          <w:b/>
          <w:color w:val="008DCF"/>
          <w:sz w:val="28"/>
          <w:szCs w:val="28"/>
        </w:rPr>
        <w:t>Promote Community Engagement and Challenge Prejudice with a Human Library: Learner Guide</w:t>
      </w:r>
    </w:p>
    <w:p w14:paraId="45B6C51E" w14:textId="77777777" w:rsidR="00E6622D" w:rsidRDefault="00E6622D">
      <w:pPr>
        <w:spacing w:after="0" w:line="240" w:lineRule="auto"/>
        <w:rPr>
          <w:b/>
          <w:color w:val="008DCF"/>
          <w:sz w:val="16"/>
          <w:szCs w:val="16"/>
        </w:rPr>
      </w:pPr>
    </w:p>
    <w:p w14:paraId="0FB4EF5C" w14:textId="77777777" w:rsidR="00E6622D" w:rsidRDefault="00B365CD">
      <w:pPr>
        <w:spacing w:line="240" w:lineRule="auto"/>
      </w:pPr>
      <w:hyperlink r:id="rId8">
        <w:r>
          <w:rPr>
            <w:color w:val="0000FF"/>
            <w:u w:val="single"/>
          </w:rPr>
          <w:t>https://www.webjunction.org/events/webjunction/human-library.html</w:t>
        </w:r>
      </w:hyperlink>
    </w:p>
    <w:p w14:paraId="2B4F5FA2" w14:textId="77777777" w:rsidR="00E6622D" w:rsidRDefault="00B365CD">
      <w:pPr>
        <w:spacing w:line="240" w:lineRule="auto"/>
      </w:pPr>
      <w:r>
        <w:t xml:space="preserve">The idea of circulating ‘human books’ first emerged in 2000, in Copenhagen, Denmark, as a way to help grow </w:t>
      </w:r>
      <w:r>
        <w:t>community understanding of the diversity of the human experience, locally and on a global level. The Human Library® model seeks to create safe spaces for dialogue where topics are discussed openly between human books and their readers. Join us to gain insi</w:t>
      </w:r>
      <w:r>
        <w:t>ghts from a public and academic library using this innovative and impactful model to create meaningful community dialogue. The Anne Arundel County Public Library’s Human Library provides an opportunity for people to connect one-on-one with those they might</w:t>
      </w:r>
      <w:r>
        <w:t xml:space="preserve"> otherwise never have a chance to talk – people who may have life experiences, stories, or beliefs different from their own. At the </w:t>
      </w:r>
      <w:proofErr w:type="spellStart"/>
      <w:r>
        <w:t>DiMenna-Nyselius</w:t>
      </w:r>
      <w:proofErr w:type="spellEnd"/>
      <w:r>
        <w:t xml:space="preserve"> Library at Fairfield University ‘human books’ are students, faculty, staff, or community members who have v</w:t>
      </w:r>
      <w:r>
        <w:t xml:space="preserve">olunteered to share their life experiences and answer questions that address stereotypes, prejudices, stigmas, or taboo topics. The session will include discussion on how these organizations were able to plan and implement a Human Library program, how the </w:t>
      </w:r>
      <w:r>
        <w:t>‘books’ were prepared and how the program was offered successfully online.</w:t>
      </w:r>
    </w:p>
    <w:p w14:paraId="1F14A112" w14:textId="77777777" w:rsidR="00E6622D" w:rsidRDefault="00B365CD">
      <w:pPr>
        <w:spacing w:line="240" w:lineRule="auto"/>
        <w:rPr>
          <w:color w:val="000000"/>
        </w:rPr>
      </w:pPr>
      <w:r>
        <w:t xml:space="preserve">Presented by: </w:t>
      </w:r>
      <w:r>
        <w:rPr>
          <w:b/>
        </w:rPr>
        <w:t>Lisa Thornell</w:t>
      </w:r>
      <w:r>
        <w:t xml:space="preserve">, Student Engagement &amp; Outreach Librarian, </w:t>
      </w:r>
      <w:proofErr w:type="spellStart"/>
      <w:r>
        <w:t>DiMenna-Nyselius</w:t>
      </w:r>
      <w:proofErr w:type="spellEnd"/>
      <w:r>
        <w:t xml:space="preserve"> Library, Fairfield University (CT); </w:t>
      </w:r>
      <w:r>
        <w:rPr>
          <w:b/>
        </w:rPr>
        <w:t>Rebecca (Becky) Hass</w:t>
      </w:r>
      <w:r>
        <w:t>, Programming and Outreach Manager, An</w:t>
      </w:r>
      <w:r>
        <w:t xml:space="preserve">ne Arundel County Public Library (MD); and </w:t>
      </w:r>
      <w:r>
        <w:rPr>
          <w:b/>
        </w:rPr>
        <w:t>Monica Powell</w:t>
      </w:r>
      <w:r>
        <w:t>, Library Associate, Anne Arundel County Public Library (MD)</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50"/>
      </w:tblGrid>
      <w:tr w:rsidR="00E6622D" w14:paraId="7C5145AC" w14:textId="77777777">
        <w:trPr>
          <w:trHeight w:val="503"/>
        </w:trPr>
        <w:tc>
          <w:tcPr>
            <w:tcW w:w="9468"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7950"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7950"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trPr>
          <w:trHeight w:val="476"/>
        </w:trPr>
        <w:tc>
          <w:tcPr>
            <w:tcW w:w="9468" w:type="dxa"/>
            <w:gridSpan w:val="2"/>
            <w:shd w:val="clear" w:color="auto" w:fill="008DCF"/>
            <w:vAlign w:val="center"/>
          </w:tcPr>
          <w:p w14:paraId="2AD5BC46" w14:textId="77777777" w:rsidR="00E6622D" w:rsidRDefault="00B365CD">
            <w:pPr>
              <w:rPr>
                <w:b/>
                <w:sz w:val="24"/>
                <w:szCs w:val="24"/>
              </w:rPr>
            </w:pPr>
            <w:r>
              <w:rPr>
                <w:b/>
                <w:color w:val="FFFFFF"/>
                <w:sz w:val="24"/>
                <w:szCs w:val="24"/>
              </w:rPr>
              <w:t xml:space="preserve">Discovering the Human Library Model  </w:t>
            </w:r>
          </w:p>
        </w:tc>
      </w:tr>
      <w:tr w:rsidR="00E6622D" w14:paraId="36B449D5" w14:textId="77777777">
        <w:trPr>
          <w:trHeight w:val="1158"/>
        </w:trPr>
        <w:tc>
          <w:tcPr>
            <w:tcW w:w="9468" w:type="dxa"/>
            <w:gridSpan w:val="2"/>
            <w:shd w:val="clear" w:color="auto" w:fill="FFFFFF"/>
            <w:vAlign w:val="center"/>
          </w:tcPr>
          <w:p w14:paraId="1B54BD06" w14:textId="77777777" w:rsidR="00E6622D" w:rsidRDefault="00B365CD">
            <w:pPr>
              <w:rPr>
                <w:sz w:val="24"/>
                <w:szCs w:val="24"/>
              </w:rPr>
            </w:pPr>
            <w:r>
              <w:t xml:space="preserve">As you decide whether or not the Human Library is a good match for your library’s programming, consider how you will explain the opportunity to your stakeholders and decision-makers. How can you make the case for hosting a Human Library? What did you hear </w:t>
            </w:r>
            <w:r>
              <w:t xml:space="preserve">during the webinar that motivates you to bring the opportunity to your community? The Daviess County (KY) Public Library's </w:t>
            </w:r>
            <w:hyperlink r:id="rId9">
              <w:r>
                <w:rPr>
                  <w:color w:val="0000FF"/>
                  <w:u w:val="single"/>
                </w:rPr>
                <w:t>Promo video</w:t>
              </w:r>
            </w:hyperlink>
            <w:r>
              <w:t xml:space="preserve"> and </w:t>
            </w:r>
            <w:hyperlink r:id="rId10">
              <w:r>
                <w:rPr>
                  <w:color w:val="0000FF"/>
                  <w:u w:val="single"/>
                </w:rPr>
                <w:t>Reaction video</w:t>
              </w:r>
            </w:hyperlink>
            <w:r>
              <w:t xml:space="preserve"> for th</w:t>
            </w:r>
            <w:r>
              <w:t>eir Human Library are a great way to share an overview of the program and how it worked for one library’s community.</w:t>
            </w:r>
          </w:p>
          <w:p w14:paraId="1CE45EC2" w14:textId="77777777" w:rsidR="00E6622D" w:rsidRDefault="00E6622D">
            <w:pPr>
              <w:rPr>
                <w:sz w:val="24"/>
                <w:szCs w:val="24"/>
              </w:rPr>
            </w:pPr>
          </w:p>
          <w:p w14:paraId="0013E836" w14:textId="77777777" w:rsidR="00E6622D" w:rsidRDefault="00E6622D">
            <w:pPr>
              <w:rPr>
                <w:sz w:val="24"/>
                <w:szCs w:val="24"/>
              </w:rPr>
            </w:pPr>
          </w:p>
          <w:p w14:paraId="16C007C8" w14:textId="77777777" w:rsidR="00E6622D" w:rsidRDefault="00E6622D">
            <w:pPr>
              <w:rPr>
                <w:sz w:val="24"/>
                <w:szCs w:val="24"/>
              </w:rPr>
            </w:pPr>
          </w:p>
          <w:p w14:paraId="5FF744EB" w14:textId="77777777" w:rsidR="00E6622D" w:rsidRDefault="00E6622D">
            <w:pPr>
              <w:rPr>
                <w:sz w:val="24"/>
                <w:szCs w:val="24"/>
              </w:rPr>
            </w:pPr>
          </w:p>
          <w:p w14:paraId="2C1BDAE2" w14:textId="77777777" w:rsidR="00E6622D" w:rsidRDefault="00E6622D">
            <w:pPr>
              <w:rPr>
                <w:sz w:val="24"/>
                <w:szCs w:val="24"/>
              </w:rPr>
            </w:pPr>
          </w:p>
          <w:p w14:paraId="43A8ECDD" w14:textId="77777777" w:rsidR="00E6622D" w:rsidRDefault="00E6622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293AF2E" w14:textId="77777777" w:rsidR="00E6622D" w:rsidRDefault="00E6622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14:paraId="3D814D37" w14:textId="77777777" w:rsidR="00E6622D" w:rsidRDefault="00E6622D">
      <w:pPr>
        <w:widowControl w:val="0"/>
        <w:pBdr>
          <w:top w:val="nil"/>
          <w:left w:val="nil"/>
          <w:bottom w:val="nil"/>
          <w:right w:val="nil"/>
          <w:between w:val="nil"/>
        </w:pBdr>
        <w:spacing w:after="0"/>
        <w:rPr>
          <w:sz w:val="24"/>
          <w:szCs w:val="24"/>
        </w:rPr>
      </w:pPr>
    </w:p>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46EBB678" w14:textId="77777777">
        <w:trPr>
          <w:trHeight w:val="530"/>
        </w:trPr>
        <w:tc>
          <w:tcPr>
            <w:tcW w:w="9558" w:type="dxa"/>
            <w:shd w:val="clear" w:color="auto" w:fill="008DCF"/>
            <w:vAlign w:val="center"/>
          </w:tcPr>
          <w:p w14:paraId="247C12D8" w14:textId="77777777" w:rsidR="00E6622D" w:rsidRDefault="00B365CD">
            <w:pPr>
              <w:rPr>
                <w:b/>
                <w:color w:val="FFFFFF"/>
                <w:sz w:val="24"/>
                <w:szCs w:val="24"/>
              </w:rPr>
            </w:pPr>
            <w:r>
              <w:rPr>
                <w:b/>
                <w:color w:val="FFFFFF"/>
                <w:sz w:val="24"/>
                <w:szCs w:val="24"/>
              </w:rPr>
              <w:lastRenderedPageBreak/>
              <w:t>Logistic Considerations</w:t>
            </w:r>
          </w:p>
        </w:tc>
      </w:tr>
      <w:tr w:rsidR="00E6622D" w14:paraId="0721818E" w14:textId="77777777">
        <w:trPr>
          <w:trHeight w:val="638"/>
        </w:trPr>
        <w:tc>
          <w:tcPr>
            <w:tcW w:w="9558" w:type="dxa"/>
            <w:shd w:val="clear" w:color="auto" w:fill="auto"/>
            <w:vAlign w:val="center"/>
          </w:tcPr>
          <w:p w14:paraId="5BC3F6CE" w14:textId="77777777" w:rsidR="00E6622D" w:rsidRDefault="00B365CD">
            <w:pPr>
              <w:widowControl w:val="0"/>
              <w:pBdr>
                <w:top w:val="nil"/>
                <w:left w:val="nil"/>
                <w:bottom w:val="nil"/>
                <w:right w:val="nil"/>
                <w:between w:val="nil"/>
              </w:pBdr>
              <w:rPr>
                <w:rFonts w:ascii="Arial" w:eastAsia="Arial" w:hAnsi="Arial" w:cs="Arial"/>
                <w:color w:val="000000"/>
              </w:rPr>
            </w:pPr>
            <w:r>
              <w:t>Once you have decided to move further into the planning process, be sure to review the “Logistics” shared by the two libraries (</w:t>
            </w:r>
            <w:hyperlink r:id="rId11">
              <w:r>
                <w:rPr>
                  <w:color w:val="0000FF"/>
                  <w:u w:val="single"/>
                </w:rPr>
                <w:t>se</w:t>
              </w:r>
              <w:r>
                <w:rPr>
                  <w:color w:val="0000FF"/>
                  <w:u w:val="single"/>
                </w:rPr>
                <w:t>e slides</w:t>
              </w:r>
            </w:hyperlink>
            <w:r>
              <w:t xml:space="preserve">). As logistics unfold you will want to connect with the Human Library organization to apply to be a </w:t>
            </w:r>
            <w:hyperlink r:id="rId12">
              <w:r>
                <w:rPr>
                  <w:color w:val="0000FF"/>
                  <w:u w:val="single"/>
                </w:rPr>
                <w:t>Human Library Organizer</w:t>
              </w:r>
            </w:hyperlink>
            <w:r>
              <w:t>. Identify key logistics to prioritize in yo</w:t>
            </w:r>
            <w:r>
              <w:t xml:space="preserve">ur next steps for planning. Be sure to include budget considerations in your early planning, e.g. </w:t>
            </w:r>
            <w:r>
              <w:rPr>
                <w:color w:val="000000"/>
              </w:rPr>
              <w:t>the license fee, marketing, supplies, snacks, etc.</w:t>
            </w:r>
          </w:p>
          <w:p w14:paraId="07E0152E" w14:textId="77777777" w:rsidR="00E6622D" w:rsidRDefault="00E6622D"/>
          <w:p w14:paraId="3A993F1B" w14:textId="77777777" w:rsidR="00E6622D" w:rsidRDefault="00B365CD">
            <w:r>
              <w:t xml:space="preserve"> </w:t>
            </w:r>
          </w:p>
          <w:p w14:paraId="2416CDE5" w14:textId="77777777" w:rsidR="00E6622D" w:rsidRDefault="00E6622D">
            <w:pPr>
              <w:numPr>
                <w:ilvl w:val="0"/>
                <w:numId w:val="1"/>
              </w:numPr>
            </w:pPr>
          </w:p>
          <w:p w14:paraId="19E590ED" w14:textId="77777777" w:rsidR="00E6622D" w:rsidRDefault="00E6622D">
            <w:pPr>
              <w:ind w:left="720"/>
            </w:pPr>
          </w:p>
          <w:p w14:paraId="16F5998F" w14:textId="77777777" w:rsidR="00E6622D" w:rsidRDefault="00E6622D">
            <w:pPr>
              <w:ind w:left="720"/>
            </w:pPr>
          </w:p>
          <w:p w14:paraId="6710C509" w14:textId="77777777" w:rsidR="00E6622D" w:rsidRDefault="00E6622D">
            <w:pPr>
              <w:ind w:left="720"/>
            </w:pPr>
          </w:p>
          <w:p w14:paraId="0963CC0E" w14:textId="77777777" w:rsidR="00E6622D" w:rsidRDefault="00E6622D">
            <w:pPr>
              <w:numPr>
                <w:ilvl w:val="0"/>
                <w:numId w:val="1"/>
              </w:numPr>
            </w:pPr>
          </w:p>
          <w:p w14:paraId="5497EA22" w14:textId="77777777" w:rsidR="00E6622D" w:rsidRDefault="00E6622D">
            <w:pPr>
              <w:ind w:left="720"/>
            </w:pPr>
          </w:p>
          <w:p w14:paraId="62FE0B44" w14:textId="77777777" w:rsidR="00E6622D" w:rsidRDefault="00E6622D">
            <w:pPr>
              <w:ind w:left="720"/>
            </w:pPr>
          </w:p>
          <w:p w14:paraId="470325A4" w14:textId="77777777" w:rsidR="00E6622D" w:rsidRDefault="00B365CD">
            <w:pPr>
              <w:ind w:left="720"/>
            </w:pPr>
            <w:r>
              <w:t xml:space="preserve"> </w:t>
            </w:r>
          </w:p>
          <w:p w14:paraId="5EC7DAAB" w14:textId="77777777" w:rsidR="00E6622D" w:rsidRDefault="00E6622D">
            <w:pPr>
              <w:numPr>
                <w:ilvl w:val="0"/>
                <w:numId w:val="1"/>
              </w:numPr>
            </w:pPr>
          </w:p>
          <w:p w14:paraId="341CC703" w14:textId="77777777" w:rsidR="00E6622D" w:rsidRDefault="00E6622D">
            <w:pPr>
              <w:spacing w:before="280" w:after="280"/>
              <w:rPr>
                <w:color w:val="000000"/>
                <w:sz w:val="24"/>
                <w:szCs w:val="24"/>
              </w:rPr>
            </w:pPr>
          </w:p>
          <w:p w14:paraId="4F0B7F5A" w14:textId="77777777" w:rsidR="00E6622D" w:rsidRDefault="00E6622D">
            <w:pPr>
              <w:rPr>
                <w:sz w:val="24"/>
                <w:szCs w:val="24"/>
              </w:rPr>
            </w:pPr>
          </w:p>
        </w:tc>
      </w:tr>
      <w:tr w:rsidR="00E6622D" w14:paraId="177C60BE" w14:textId="77777777">
        <w:trPr>
          <w:trHeight w:val="539"/>
        </w:trPr>
        <w:tc>
          <w:tcPr>
            <w:tcW w:w="9558" w:type="dxa"/>
            <w:shd w:val="clear" w:color="auto" w:fill="008DCF"/>
            <w:vAlign w:val="center"/>
          </w:tcPr>
          <w:p w14:paraId="2B73E09B" w14:textId="77777777" w:rsidR="00E6622D" w:rsidRDefault="00B365CD">
            <w:pPr>
              <w:rPr>
                <w:sz w:val="24"/>
                <w:szCs w:val="24"/>
              </w:rPr>
            </w:pPr>
            <w:r>
              <w:rPr>
                <w:b/>
                <w:color w:val="FFFFFF"/>
                <w:sz w:val="24"/>
                <w:szCs w:val="24"/>
              </w:rPr>
              <w:t xml:space="preserve">Building Your Program Partner Network </w:t>
            </w:r>
          </w:p>
        </w:tc>
      </w:tr>
      <w:tr w:rsidR="00E6622D" w14:paraId="7BBFC72F" w14:textId="77777777">
        <w:trPr>
          <w:trHeight w:val="638"/>
        </w:trPr>
        <w:tc>
          <w:tcPr>
            <w:tcW w:w="9558" w:type="dxa"/>
            <w:shd w:val="clear" w:color="auto" w:fill="auto"/>
            <w:vAlign w:val="center"/>
          </w:tcPr>
          <w:p w14:paraId="199828F9" w14:textId="77777777" w:rsidR="00E6622D" w:rsidRDefault="00B365CD">
            <w:r>
              <w:t xml:space="preserve">You may have existing partners who you collaborate with for your library’s programming, but the Human Library creates new possibilities for expanding program partnerships across the </w:t>
            </w:r>
            <w:r>
              <w:rPr>
                <w:color w:val="000000"/>
              </w:rPr>
              <w:t xml:space="preserve">three types of partnerships outlined by the </w:t>
            </w:r>
            <w:r>
              <w:t>Anne Arundel County Public Lib</w:t>
            </w:r>
            <w:r>
              <w:t>rary (AACPL) program</w:t>
            </w:r>
            <w:r>
              <w:rPr>
                <w:color w:val="000000"/>
              </w:rPr>
              <w:t xml:space="preserve">–Participation, Promotion, Presenter. </w:t>
            </w:r>
            <w:r>
              <w:t xml:space="preserve">Consider non-profits, government agencies and other educators you might connect with, including those that could help with Book recruitment, marketing your Human Library, supporting with funding or </w:t>
            </w:r>
            <w:r>
              <w:t>in-kind contributions for the events, or to provide mental health support to Books and Readers, as AACPL provided in their Reflection Room. For an extended list of options, review potential partners for collaboration in WebJunction’s</w:t>
            </w:r>
            <w:hyperlink r:id="rId13">
              <w:r>
                <w:t xml:space="preserve"> </w:t>
              </w:r>
            </w:hyperlink>
            <w:hyperlink r:id="rId14">
              <w:r>
                <w:rPr>
                  <w:color w:val="1155CC"/>
                  <w:u w:val="single"/>
                </w:rPr>
                <w:t>Community Partnership and Collaboration Guide</w:t>
              </w:r>
            </w:hyperlink>
            <w:r>
              <w:t>.</w:t>
            </w:r>
          </w:p>
          <w:p w14:paraId="7D68AB06" w14:textId="77777777" w:rsidR="00E6622D" w:rsidRDefault="00E6622D"/>
          <w:p w14:paraId="33760BD4" w14:textId="77777777" w:rsidR="00E6622D" w:rsidRDefault="00E6622D">
            <w:pPr>
              <w:numPr>
                <w:ilvl w:val="0"/>
                <w:numId w:val="2"/>
              </w:numPr>
            </w:pPr>
          </w:p>
          <w:p w14:paraId="52B0873A" w14:textId="77777777" w:rsidR="00E6622D" w:rsidRDefault="00E6622D">
            <w:pPr>
              <w:ind w:left="720"/>
            </w:pPr>
          </w:p>
          <w:p w14:paraId="59409349" w14:textId="77777777" w:rsidR="00E6622D" w:rsidRDefault="00E6622D">
            <w:pPr>
              <w:ind w:left="720"/>
            </w:pPr>
          </w:p>
          <w:p w14:paraId="1D5F41D8" w14:textId="77777777" w:rsidR="00E6622D" w:rsidRDefault="00E6622D">
            <w:pPr>
              <w:ind w:left="720"/>
            </w:pPr>
          </w:p>
          <w:p w14:paraId="6A6DCBA4" w14:textId="77777777" w:rsidR="00E6622D" w:rsidRDefault="00E6622D">
            <w:pPr>
              <w:numPr>
                <w:ilvl w:val="0"/>
                <w:numId w:val="2"/>
              </w:numPr>
            </w:pPr>
          </w:p>
          <w:p w14:paraId="112A3A0F" w14:textId="77777777" w:rsidR="00E6622D" w:rsidRDefault="00E6622D">
            <w:pPr>
              <w:ind w:left="720"/>
            </w:pPr>
          </w:p>
          <w:p w14:paraId="1C01FF02" w14:textId="77777777" w:rsidR="00E6622D" w:rsidRDefault="00E6622D">
            <w:pPr>
              <w:ind w:left="720"/>
            </w:pPr>
          </w:p>
          <w:p w14:paraId="13A0B3FD" w14:textId="77777777" w:rsidR="00E6622D" w:rsidRDefault="00B365CD">
            <w:pPr>
              <w:ind w:left="720"/>
            </w:pPr>
            <w:r>
              <w:t xml:space="preserve"> </w:t>
            </w:r>
          </w:p>
          <w:p w14:paraId="1725B699" w14:textId="77777777" w:rsidR="00E6622D" w:rsidRDefault="00E6622D">
            <w:pPr>
              <w:numPr>
                <w:ilvl w:val="0"/>
                <w:numId w:val="2"/>
              </w:numPr>
            </w:pPr>
          </w:p>
          <w:p w14:paraId="1CDABC37" w14:textId="49B28447" w:rsidR="00E6622D" w:rsidRDefault="00E6622D">
            <w:pPr>
              <w:pBdr>
                <w:top w:val="nil"/>
                <w:left w:val="nil"/>
                <w:bottom w:val="nil"/>
                <w:right w:val="nil"/>
                <w:between w:val="nil"/>
              </w:pBdr>
              <w:rPr>
                <w:sz w:val="24"/>
                <w:szCs w:val="24"/>
              </w:rPr>
            </w:pPr>
          </w:p>
          <w:p w14:paraId="608977C7" w14:textId="77777777" w:rsidR="00A052B9" w:rsidRDefault="00A052B9">
            <w:pPr>
              <w:pBdr>
                <w:top w:val="nil"/>
                <w:left w:val="nil"/>
                <w:bottom w:val="nil"/>
                <w:right w:val="nil"/>
                <w:between w:val="nil"/>
              </w:pBdr>
              <w:rPr>
                <w:sz w:val="24"/>
                <w:szCs w:val="24"/>
              </w:rPr>
            </w:pPr>
          </w:p>
          <w:p w14:paraId="0E73390A" w14:textId="77777777" w:rsidR="00E6622D" w:rsidRDefault="00E6622D">
            <w:pPr>
              <w:pBdr>
                <w:top w:val="nil"/>
                <w:left w:val="nil"/>
                <w:bottom w:val="nil"/>
                <w:right w:val="nil"/>
                <w:between w:val="nil"/>
              </w:pBdr>
              <w:rPr>
                <w:color w:val="000000"/>
                <w:sz w:val="24"/>
                <w:szCs w:val="24"/>
              </w:rPr>
            </w:pPr>
          </w:p>
          <w:p w14:paraId="755FEACE" w14:textId="77777777" w:rsidR="00E6622D" w:rsidRDefault="00E6622D">
            <w:pPr>
              <w:rPr>
                <w:sz w:val="24"/>
                <w:szCs w:val="24"/>
              </w:rPr>
            </w:pPr>
          </w:p>
        </w:tc>
      </w:tr>
      <w:tr w:rsidR="00E6622D" w14:paraId="2437AB44" w14:textId="77777777">
        <w:trPr>
          <w:trHeight w:val="539"/>
        </w:trPr>
        <w:tc>
          <w:tcPr>
            <w:tcW w:w="9558" w:type="dxa"/>
            <w:shd w:val="clear" w:color="auto" w:fill="008DCF"/>
            <w:vAlign w:val="center"/>
          </w:tcPr>
          <w:p w14:paraId="07495B13" w14:textId="77777777" w:rsidR="00E6622D" w:rsidRDefault="00B365CD">
            <w:pPr>
              <w:rPr>
                <w:sz w:val="24"/>
                <w:szCs w:val="24"/>
              </w:rPr>
            </w:pPr>
            <w:r>
              <w:rPr>
                <w:b/>
                <w:color w:val="FFFFFF"/>
                <w:sz w:val="24"/>
                <w:szCs w:val="24"/>
              </w:rPr>
              <w:lastRenderedPageBreak/>
              <w:t>Online Considerations</w:t>
            </w:r>
          </w:p>
        </w:tc>
      </w:tr>
      <w:tr w:rsidR="00E6622D" w14:paraId="2651CCD1" w14:textId="77777777">
        <w:trPr>
          <w:trHeight w:val="638"/>
        </w:trPr>
        <w:tc>
          <w:tcPr>
            <w:tcW w:w="9558" w:type="dxa"/>
            <w:shd w:val="clear" w:color="auto" w:fill="auto"/>
            <w:vAlign w:val="center"/>
          </w:tcPr>
          <w:p w14:paraId="06B20E7F" w14:textId="77777777" w:rsidR="00E6622D" w:rsidRDefault="00B365CD">
            <w:r>
              <w:t xml:space="preserve">Both libraries have hosted online versions of their Human Library program. Consider the pros and cons of facilitating a Human Library event online and identify the different logistics and considerations for planning. </w:t>
            </w:r>
          </w:p>
          <w:p w14:paraId="77E2D9DA" w14:textId="77777777" w:rsidR="00E6622D" w:rsidRDefault="00E6622D"/>
          <w:p w14:paraId="54CC777B" w14:textId="77777777" w:rsidR="00E6622D" w:rsidRDefault="00E6622D"/>
          <w:p w14:paraId="43108A1E" w14:textId="77777777" w:rsidR="00E6622D" w:rsidRDefault="00E6622D"/>
          <w:p w14:paraId="6C8F71F8" w14:textId="14C4E663" w:rsidR="00E6622D" w:rsidRDefault="00E6622D"/>
          <w:p w14:paraId="60C71651" w14:textId="77777777" w:rsidR="00A052B9" w:rsidRDefault="00A052B9"/>
          <w:p w14:paraId="56142576" w14:textId="77777777" w:rsidR="00E6622D" w:rsidRDefault="00E6622D"/>
          <w:p w14:paraId="5DEE0F22" w14:textId="77777777" w:rsidR="00E6622D" w:rsidRDefault="00E6622D"/>
          <w:p w14:paraId="10C78171" w14:textId="77777777" w:rsidR="00E6622D" w:rsidRDefault="00E6622D"/>
          <w:p w14:paraId="50BD89B7" w14:textId="77777777" w:rsidR="00E6622D" w:rsidRDefault="00E6622D"/>
          <w:p w14:paraId="12591E21" w14:textId="77777777" w:rsidR="00E6622D" w:rsidRDefault="00E6622D"/>
          <w:p w14:paraId="7FE599FF" w14:textId="77777777" w:rsidR="00E6622D" w:rsidRDefault="00E6622D">
            <w:pPr>
              <w:rPr>
                <w:sz w:val="24"/>
                <w:szCs w:val="24"/>
              </w:rPr>
            </w:pPr>
          </w:p>
        </w:tc>
      </w:tr>
      <w:tr w:rsidR="00E6622D" w14:paraId="3187B443" w14:textId="77777777">
        <w:trPr>
          <w:trHeight w:val="638"/>
        </w:trPr>
        <w:tc>
          <w:tcPr>
            <w:tcW w:w="9558" w:type="dxa"/>
            <w:shd w:val="clear" w:color="auto" w:fill="008DCF"/>
            <w:vAlign w:val="center"/>
          </w:tcPr>
          <w:p w14:paraId="2B2B2719" w14:textId="77777777" w:rsidR="00E6622D" w:rsidRDefault="00B365CD">
            <w:pPr>
              <w:rPr>
                <w:sz w:val="24"/>
                <w:szCs w:val="24"/>
              </w:rPr>
            </w:pPr>
            <w:r>
              <w:rPr>
                <w:b/>
                <w:color w:val="FFFFFF"/>
                <w:sz w:val="24"/>
                <w:szCs w:val="24"/>
              </w:rPr>
              <w:t xml:space="preserve">Action Plan: (include next steps, who, </w:t>
            </w:r>
            <w:proofErr w:type="gramStart"/>
            <w:r>
              <w:rPr>
                <w:b/>
                <w:color w:val="FFFFFF"/>
                <w:sz w:val="24"/>
                <w:szCs w:val="24"/>
              </w:rPr>
              <w:t>when,</w:t>
            </w:r>
            <w:proofErr w:type="gramEnd"/>
            <w:r>
              <w:rPr>
                <w:b/>
                <w:color w:val="FFFFFF"/>
                <w:sz w:val="24"/>
                <w:szCs w:val="24"/>
              </w:rPr>
              <w:t xml:space="preserve"> etc.)</w:t>
            </w:r>
          </w:p>
        </w:tc>
      </w:tr>
      <w:tr w:rsidR="00E6622D" w14:paraId="363A42E3" w14:textId="77777777">
        <w:trPr>
          <w:trHeight w:val="638"/>
        </w:trPr>
        <w:tc>
          <w:tcPr>
            <w:tcW w:w="9558" w:type="dxa"/>
            <w:shd w:val="clear" w:color="auto" w:fill="auto"/>
            <w:vAlign w:val="center"/>
          </w:tcPr>
          <w:p w14:paraId="3E1B4170" w14:textId="77777777" w:rsidR="00E6622D" w:rsidRDefault="00E6622D"/>
          <w:p w14:paraId="36AA2A06" w14:textId="77777777" w:rsidR="00E6622D" w:rsidRDefault="00E6622D">
            <w:pPr>
              <w:ind w:left="720"/>
            </w:pPr>
          </w:p>
          <w:p w14:paraId="391AF4D5" w14:textId="77777777" w:rsidR="00E6622D" w:rsidRDefault="00E6622D">
            <w:pPr>
              <w:ind w:left="720"/>
            </w:pPr>
          </w:p>
          <w:p w14:paraId="5A2F6240" w14:textId="77777777" w:rsidR="00E6622D" w:rsidRDefault="00E6622D">
            <w:pPr>
              <w:ind w:left="720"/>
            </w:pPr>
          </w:p>
          <w:p w14:paraId="66D9070A" w14:textId="77777777" w:rsidR="00E6622D" w:rsidRDefault="00E6622D">
            <w:pPr>
              <w:ind w:left="720"/>
            </w:pPr>
          </w:p>
          <w:p w14:paraId="2EF00A03" w14:textId="77777777" w:rsidR="00E6622D" w:rsidRDefault="00E6622D">
            <w:pPr>
              <w:ind w:left="720"/>
            </w:pPr>
          </w:p>
          <w:p w14:paraId="49BCE6D6" w14:textId="77777777" w:rsidR="00E6622D" w:rsidRDefault="00E6622D">
            <w:pPr>
              <w:ind w:left="720"/>
            </w:pPr>
          </w:p>
          <w:p w14:paraId="6EF08019" w14:textId="77777777" w:rsidR="00E6622D" w:rsidRDefault="00E6622D">
            <w:pPr>
              <w:ind w:left="720"/>
            </w:pPr>
          </w:p>
          <w:p w14:paraId="1B6F2F8D" w14:textId="77777777" w:rsidR="00E6622D" w:rsidRDefault="00E6622D">
            <w:pPr>
              <w:ind w:left="720"/>
            </w:pPr>
          </w:p>
          <w:p w14:paraId="1380006E" w14:textId="77777777" w:rsidR="00E6622D" w:rsidRDefault="00E6622D">
            <w:pPr>
              <w:ind w:left="720"/>
            </w:pPr>
          </w:p>
          <w:p w14:paraId="309D2506" w14:textId="77777777" w:rsidR="00E6622D" w:rsidRDefault="00E6622D">
            <w:pPr>
              <w:ind w:left="720"/>
            </w:pPr>
          </w:p>
          <w:p w14:paraId="17A21F57" w14:textId="77777777" w:rsidR="00E6622D" w:rsidRDefault="00E6622D">
            <w:pPr>
              <w:ind w:left="720"/>
            </w:pPr>
          </w:p>
          <w:p w14:paraId="4198FD02" w14:textId="77777777" w:rsidR="00E6622D" w:rsidRDefault="00E6622D">
            <w:pPr>
              <w:ind w:left="720"/>
            </w:pPr>
          </w:p>
          <w:p w14:paraId="252F1C9B" w14:textId="77777777" w:rsidR="00E6622D" w:rsidRDefault="00E6622D">
            <w:pPr>
              <w:ind w:left="720"/>
            </w:pPr>
          </w:p>
          <w:p w14:paraId="1B6928D9" w14:textId="77777777" w:rsidR="00E6622D" w:rsidRDefault="00E6622D">
            <w:pPr>
              <w:ind w:left="720"/>
            </w:pPr>
          </w:p>
          <w:p w14:paraId="2C50CBB3" w14:textId="77777777" w:rsidR="00E6622D" w:rsidRDefault="00E6622D">
            <w:pPr>
              <w:ind w:left="720"/>
            </w:pPr>
          </w:p>
          <w:p w14:paraId="32A354B7" w14:textId="77777777" w:rsidR="00E6622D" w:rsidRDefault="00E6622D">
            <w:pPr>
              <w:ind w:left="720"/>
            </w:pPr>
          </w:p>
          <w:p w14:paraId="3EF5BD48" w14:textId="77777777" w:rsidR="00E6622D" w:rsidRDefault="00E6622D">
            <w:pPr>
              <w:ind w:left="720"/>
            </w:pPr>
          </w:p>
          <w:p w14:paraId="746B53F6" w14:textId="77777777" w:rsidR="00E6622D" w:rsidRDefault="00E6622D"/>
          <w:p w14:paraId="5480F848" w14:textId="77777777" w:rsidR="00E6622D" w:rsidRDefault="00E6622D"/>
          <w:p w14:paraId="72C1BBFE" w14:textId="77777777" w:rsidR="00E6622D" w:rsidRDefault="00E6622D">
            <w:pPr>
              <w:ind w:left="720"/>
            </w:pPr>
          </w:p>
          <w:p w14:paraId="0D55F750" w14:textId="77777777" w:rsidR="00E6622D" w:rsidRDefault="00E6622D">
            <w:pPr>
              <w:ind w:left="720"/>
            </w:pPr>
          </w:p>
          <w:p w14:paraId="35FD6B3D" w14:textId="77777777" w:rsidR="00E6622D" w:rsidRDefault="00E6622D">
            <w:pPr>
              <w:ind w:left="720"/>
            </w:pPr>
          </w:p>
          <w:p w14:paraId="5607DF52" w14:textId="77777777" w:rsidR="00E6622D" w:rsidRDefault="00E6622D">
            <w:pPr>
              <w:ind w:left="720"/>
            </w:pPr>
          </w:p>
          <w:p w14:paraId="070F36AB" w14:textId="77777777" w:rsidR="00E6622D" w:rsidRDefault="00E6622D">
            <w:pPr>
              <w:ind w:left="720"/>
            </w:pPr>
          </w:p>
          <w:p w14:paraId="6DB0E47B" w14:textId="77777777" w:rsidR="00E6622D" w:rsidRDefault="00E6622D">
            <w:pPr>
              <w:rPr>
                <w:sz w:val="24"/>
                <w:szCs w:val="24"/>
              </w:rPr>
            </w:pPr>
          </w:p>
        </w:tc>
      </w:tr>
    </w:tbl>
    <w:p w14:paraId="7424D035" w14:textId="77777777" w:rsidR="00E6622D" w:rsidRDefault="00E6622D">
      <w:pPr>
        <w:spacing w:line="240" w:lineRule="auto"/>
        <w:rPr>
          <w:sz w:val="24"/>
          <w:szCs w:val="24"/>
        </w:rPr>
      </w:pPr>
    </w:p>
    <w:sectPr w:rsidR="00E6622D">
      <w:headerReference w:type="default" r:id="rId15"/>
      <w:footerReference w:type="default" r:id="rId16"/>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E05ED" w14:textId="77777777" w:rsidR="00B365CD" w:rsidRDefault="00B365CD">
      <w:pPr>
        <w:spacing w:after="0" w:line="240" w:lineRule="auto"/>
      </w:pPr>
      <w:r>
        <w:separator/>
      </w:r>
    </w:p>
  </w:endnote>
  <w:endnote w:type="continuationSeparator" w:id="0">
    <w:p w14:paraId="2DBFE24C" w14:textId="77777777" w:rsidR="00B365CD" w:rsidRDefault="00B3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sidR="00A052B9">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5D6D5" w14:textId="77777777" w:rsidR="00B365CD" w:rsidRDefault="00B365CD">
      <w:pPr>
        <w:spacing w:after="0" w:line="240" w:lineRule="auto"/>
      </w:pPr>
      <w:r>
        <w:separator/>
      </w:r>
    </w:p>
  </w:footnote>
  <w:footnote w:type="continuationSeparator" w:id="0">
    <w:p w14:paraId="4AF9E3B8" w14:textId="77777777" w:rsidR="00B365CD" w:rsidRDefault="00B36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A052B9"/>
    <w:rsid w:val="00B365CD"/>
    <w:rsid w:val="00E6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human-library.html" TargetMode="External"/><Relationship Id="rId13" Type="http://schemas.openxmlformats.org/officeDocument/2006/relationships/hyperlink" Target="http://www.webjunction.org/documents/webjunction/Community_Partner_Collaboration_Guid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manlibrary.org/human-library-organizers/organiz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junction.org/content/dam/WebJunction/Documents/webJunction/2022-01/slides-human-library.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2BoQI-fFTJI" TargetMode="External"/><Relationship Id="rId4" Type="http://schemas.openxmlformats.org/officeDocument/2006/relationships/settings" Target="settings.xml"/><Relationship Id="rId9" Type="http://schemas.openxmlformats.org/officeDocument/2006/relationships/hyperlink" Target="https://youtu.be/7NIVydALdXM" TargetMode="External"/><Relationship Id="rId14" Type="http://schemas.openxmlformats.org/officeDocument/2006/relationships/hyperlink" Target="http://www.webjunction.org/documents/webjunction/Community_Partner_Collaboration_Gui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2022-01-14T21:32:00Z</dcterms:created>
  <dcterms:modified xsi:type="dcterms:W3CDTF">2022-01-18T23:14:00Z</dcterms:modified>
</cp:coreProperties>
</file>