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AF031" w14:textId="77777777" w:rsidR="00F535CB" w:rsidRDefault="00F535CB" w:rsidP="00F535CB">
      <w:pPr>
        <w:spacing w:line="240" w:lineRule="auto"/>
        <w:contextualSpacing/>
        <w:rPr>
          <w:rFonts w:asciiTheme="majorHAnsi" w:eastAsiaTheme="majorEastAsia" w:hAnsiTheme="majorHAnsi" w:cstheme="majorBidi"/>
          <w:b/>
          <w:bCs/>
          <w:color w:val="365F91" w:themeColor="accent1" w:themeShade="BF"/>
          <w:sz w:val="28"/>
          <w:szCs w:val="28"/>
        </w:rPr>
      </w:pPr>
      <w:r w:rsidRPr="00F535CB">
        <w:rPr>
          <w:rFonts w:asciiTheme="majorHAnsi" w:eastAsiaTheme="majorEastAsia" w:hAnsiTheme="majorHAnsi" w:cstheme="majorBidi"/>
          <w:b/>
          <w:bCs/>
          <w:color w:val="365F91" w:themeColor="accent1" w:themeShade="BF"/>
          <w:sz w:val="28"/>
          <w:szCs w:val="28"/>
        </w:rPr>
        <w:t>Eliminating Library Fines: Improving Community Access, Equity and Usage</w:t>
      </w:r>
    </w:p>
    <w:p w14:paraId="081B6B9A" w14:textId="7D76FC14" w:rsidR="00F535CB" w:rsidRPr="00F535CB" w:rsidRDefault="00D971ED" w:rsidP="00F535CB">
      <w:pPr>
        <w:spacing w:line="240" w:lineRule="auto"/>
        <w:contextualSpacing/>
        <w:rPr>
          <w:rFonts w:asciiTheme="majorHAnsi" w:eastAsiaTheme="majorEastAsia" w:hAnsiTheme="majorHAnsi" w:cstheme="majorBidi"/>
          <w:b/>
          <w:bCs/>
          <w:color w:val="365F91" w:themeColor="accent1" w:themeShade="BF"/>
          <w:sz w:val="28"/>
          <w:szCs w:val="28"/>
        </w:rPr>
      </w:pPr>
      <w:hyperlink r:id="rId8" w:history="1">
        <w:r w:rsidR="00F535CB" w:rsidRPr="00FB34BC">
          <w:rPr>
            <w:rStyle w:val="Hyperlink"/>
          </w:rPr>
          <w:t>https://www.webjunction.org/events/webjunction/eliminating-library-fines.html</w:t>
        </w:r>
      </w:hyperlink>
    </w:p>
    <w:p w14:paraId="18901C97" w14:textId="77777777" w:rsidR="00F535CB" w:rsidRDefault="008C4BAD" w:rsidP="00204D72">
      <w:pPr>
        <w:pStyle w:val="NormalWeb"/>
        <w:rPr>
          <w:rFonts w:asciiTheme="minorHAnsi" w:hAnsiTheme="minorHAnsi"/>
          <w:sz w:val="22"/>
          <w:szCs w:val="22"/>
        </w:rPr>
      </w:pPr>
      <w:r w:rsidRPr="00D54DE2">
        <w:rPr>
          <w:rFonts w:asciiTheme="minorHAnsi" w:hAnsiTheme="minorHAnsi" w:cs="Helvetica"/>
          <w:b/>
          <w:color w:val="000000"/>
          <w:sz w:val="22"/>
          <w:szCs w:val="22"/>
        </w:rPr>
        <w:t xml:space="preserve">Event </w:t>
      </w:r>
      <w:r w:rsidR="00981923" w:rsidRPr="00D54DE2">
        <w:rPr>
          <w:rFonts w:asciiTheme="minorHAnsi" w:hAnsiTheme="minorHAnsi" w:cs="Helvetica"/>
          <w:b/>
          <w:color w:val="000000"/>
          <w:sz w:val="22"/>
          <w:szCs w:val="22"/>
        </w:rPr>
        <w:t>Description</w:t>
      </w:r>
      <w:r w:rsidRPr="00D54DE2">
        <w:rPr>
          <w:rFonts w:asciiTheme="minorHAnsi" w:hAnsiTheme="minorHAnsi" w:cs="Helvetica"/>
          <w:color w:val="000000"/>
          <w:sz w:val="22"/>
          <w:szCs w:val="22"/>
        </w:rPr>
        <w:t xml:space="preserve">: </w:t>
      </w:r>
      <w:r w:rsidR="00F535CB" w:rsidRPr="00F535CB">
        <w:rPr>
          <w:rFonts w:asciiTheme="minorHAnsi" w:hAnsiTheme="minorHAnsi"/>
          <w:sz w:val="22"/>
          <w:szCs w:val="22"/>
        </w:rPr>
        <w:t>The growing research and library case studies on the benefits of eliminating overdue fines indicate that the advantages to both library and patron far exceed the monetary value of the fines. This webinar explores going (and staying) fine-free as a social justice issue­­­­ and as a revenue issue. Presenters will discuss considerations such as the barriers to access for those facing financial insecurity, the cost to collect fines often exceeds the revenue they bring in, and that many libraries report that patrons return more items after going fine-free. This webinar shares how going fine-free eliminates barriers and improves access to your library’s materials and services, resulting in increased usage, higher circulation, lower staff stress, and higher customer satisfaction.</w:t>
      </w:r>
    </w:p>
    <w:p w14:paraId="0211977E" w14:textId="1FFF9755" w:rsidR="00D54DE2" w:rsidRPr="00D54DE2" w:rsidRDefault="00204D72" w:rsidP="00204D72">
      <w:pPr>
        <w:pStyle w:val="NormalWeb"/>
        <w:rPr>
          <w:rFonts w:asciiTheme="minorHAnsi" w:hAnsiTheme="minorHAnsi"/>
          <w:sz w:val="22"/>
          <w:szCs w:val="22"/>
        </w:rPr>
      </w:pPr>
      <w:r w:rsidRPr="00204D72">
        <w:rPr>
          <w:rFonts w:asciiTheme="minorHAnsi" w:hAnsiTheme="minorHAnsi"/>
          <w:b/>
          <w:sz w:val="22"/>
          <w:szCs w:val="22"/>
        </w:rPr>
        <w:t>Presented by:</w:t>
      </w:r>
      <w:r w:rsidRPr="00204D72">
        <w:rPr>
          <w:rFonts w:asciiTheme="minorHAnsi" w:hAnsiTheme="minorHAnsi"/>
          <w:sz w:val="22"/>
          <w:szCs w:val="22"/>
        </w:rPr>
        <w:t xml:space="preserve"> </w:t>
      </w:r>
      <w:r w:rsidR="00F535CB">
        <w:rPr>
          <w:rFonts w:asciiTheme="minorHAnsi" w:hAnsiTheme="minorHAnsi"/>
          <w:sz w:val="22"/>
          <w:szCs w:val="22"/>
        </w:rPr>
        <w:t>Mark Fink and Peter Bromberg</w:t>
      </w:r>
    </w:p>
    <w:tbl>
      <w:tblPr>
        <w:tblStyle w:val="TableGrid"/>
        <w:tblW w:w="9558" w:type="dxa"/>
        <w:tblLook w:val="04A0" w:firstRow="1" w:lastRow="0" w:firstColumn="1" w:lastColumn="0" w:noHBand="0" w:noVBand="1"/>
      </w:tblPr>
      <w:tblGrid>
        <w:gridCol w:w="1533"/>
        <w:gridCol w:w="8025"/>
      </w:tblGrid>
      <w:tr w:rsidR="00560CCE" w14:paraId="44481815" w14:textId="77777777" w:rsidTr="00C70DC4">
        <w:trPr>
          <w:trHeight w:val="504"/>
        </w:trPr>
        <w:tc>
          <w:tcPr>
            <w:tcW w:w="9558"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14:paraId="4B3FC002" w14:textId="77777777" w:rsidTr="00C70DC4">
        <w:trPr>
          <w:trHeight w:val="648"/>
        </w:trPr>
        <w:tc>
          <w:tcPr>
            <w:tcW w:w="1533" w:type="dxa"/>
            <w:shd w:val="clear" w:color="auto" w:fill="92CDDC" w:themeFill="accent5" w:themeFillTint="99"/>
            <w:vAlign w:val="center"/>
          </w:tcPr>
          <w:p w14:paraId="1CD0C69B" w14:textId="77777777" w:rsidR="00560CCE" w:rsidRDefault="00560CCE" w:rsidP="005A0B4F">
            <w:r w:rsidRPr="00BD7B5B">
              <w:rPr>
                <w:b/>
              </w:rPr>
              <w:t>Personal Goals</w:t>
            </w:r>
          </w:p>
        </w:tc>
        <w:tc>
          <w:tcPr>
            <w:tcW w:w="8025" w:type="dxa"/>
            <w:vAlign w:val="center"/>
          </w:tcPr>
          <w:p w14:paraId="105FEE25" w14:textId="77777777" w:rsidR="00560CCE" w:rsidRDefault="00560CCE" w:rsidP="005A0B4F"/>
        </w:tc>
      </w:tr>
      <w:tr w:rsidR="00560CCE" w14:paraId="1D92BA34" w14:textId="77777777" w:rsidTr="00C70DC4">
        <w:trPr>
          <w:trHeight w:val="648"/>
        </w:trPr>
        <w:tc>
          <w:tcPr>
            <w:tcW w:w="1533"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8025" w:type="dxa"/>
            <w:vAlign w:val="center"/>
          </w:tcPr>
          <w:p w14:paraId="46755034" w14:textId="77777777" w:rsidR="00560CCE" w:rsidRDefault="00560CCE" w:rsidP="005A0B4F"/>
        </w:tc>
      </w:tr>
      <w:tr w:rsidR="00560CCE" w:rsidRPr="001B40A2" w14:paraId="3220BA0E" w14:textId="77777777" w:rsidTr="00C70DC4">
        <w:trPr>
          <w:trHeight w:val="638"/>
        </w:trPr>
        <w:tc>
          <w:tcPr>
            <w:tcW w:w="9558" w:type="dxa"/>
            <w:gridSpan w:val="2"/>
            <w:shd w:val="clear" w:color="auto" w:fill="31849B" w:themeFill="accent5" w:themeFillShade="BF"/>
            <w:vAlign w:val="bottom"/>
          </w:tcPr>
          <w:p w14:paraId="4E0BB4B7" w14:textId="3F855868" w:rsidR="00560CCE" w:rsidRPr="002A462D" w:rsidRDefault="00DE1AC8" w:rsidP="00D61E18">
            <w:pPr>
              <w:spacing w:after="200" w:line="276" w:lineRule="auto"/>
              <w:rPr>
                <w:b/>
                <w:color w:val="FFFFFF" w:themeColor="background1"/>
              </w:rPr>
            </w:pPr>
            <w:r w:rsidRPr="00DE1AC8">
              <w:rPr>
                <w:b/>
                <w:color w:val="FFFFFF" w:themeColor="background1"/>
              </w:rPr>
              <w:t>Understand</w:t>
            </w:r>
            <w:r>
              <w:rPr>
                <w:b/>
                <w:color w:val="FFFFFF" w:themeColor="background1"/>
              </w:rPr>
              <w:t xml:space="preserve">ing Community Inequities </w:t>
            </w:r>
          </w:p>
        </w:tc>
      </w:tr>
      <w:tr w:rsidR="00560CCE" w:rsidRPr="001B40A2" w14:paraId="4392BE79" w14:textId="77777777" w:rsidTr="00523EA2">
        <w:trPr>
          <w:trHeight w:val="638"/>
        </w:trPr>
        <w:tc>
          <w:tcPr>
            <w:tcW w:w="9558" w:type="dxa"/>
            <w:gridSpan w:val="2"/>
            <w:shd w:val="clear" w:color="auto" w:fill="auto"/>
            <w:vAlign w:val="center"/>
          </w:tcPr>
          <w:p w14:paraId="02FC0989" w14:textId="2E39BEAE" w:rsidR="00F24247" w:rsidRDefault="00F24247" w:rsidP="00662378">
            <w:r>
              <w:t xml:space="preserve">Understanding economic, housing and demographic inequities </w:t>
            </w:r>
            <w:r w:rsidR="00662378">
              <w:t>experienced by members of your community can help build</w:t>
            </w:r>
            <w:r>
              <w:t xml:space="preserve"> </w:t>
            </w:r>
            <w:r w:rsidR="00662378">
              <w:t>awareness of</w:t>
            </w:r>
            <w:r>
              <w:t xml:space="preserve"> how fines </w:t>
            </w:r>
            <w:r w:rsidR="00B0359B">
              <w:t>can</w:t>
            </w:r>
            <w:r>
              <w:t xml:space="preserve"> be a barrier to access</w:t>
            </w:r>
            <w:r w:rsidR="00662378">
              <w:t xml:space="preserve">. Using sources like the </w:t>
            </w:r>
            <w:hyperlink r:id="rId9" w:history="1">
              <w:r w:rsidRPr="00662378">
                <w:rPr>
                  <w:rStyle w:val="Hyperlink"/>
                </w:rPr>
                <w:t>American Community Survey</w:t>
              </w:r>
            </w:hyperlink>
            <w:r>
              <w:t xml:space="preserve"> </w:t>
            </w:r>
            <w:r w:rsidR="00662378">
              <w:t xml:space="preserve">from the </w:t>
            </w:r>
            <w:r>
              <w:t>U.S. Census</w:t>
            </w:r>
            <w:r w:rsidR="00662378">
              <w:t xml:space="preserve">, examine data about household income in zip codes in your area, and analyze library data for blocked accounts or accounts with fines in these zip codes. </w:t>
            </w:r>
            <w:r w:rsidR="00C6255A">
              <w:t>(See slide #10 from presentation to see community analysis done by Yolo County Library)</w:t>
            </w:r>
          </w:p>
          <w:p w14:paraId="382374CC" w14:textId="43448203" w:rsidR="00C6255A" w:rsidRDefault="00C6255A" w:rsidP="00662378"/>
          <w:p w14:paraId="363C8701" w14:textId="4B140A01" w:rsidR="00C6255A" w:rsidRDefault="00C6255A" w:rsidP="00662378">
            <w:r>
              <w:t>What does this information reveal about your community and how fines might impact households with patrons who should have access to your materials and services?</w:t>
            </w:r>
          </w:p>
          <w:p w14:paraId="12E8DA3E" w14:textId="0A093E3D" w:rsidR="00C6255A" w:rsidRDefault="00C6255A" w:rsidP="00662378"/>
          <w:p w14:paraId="387EB220" w14:textId="77777777" w:rsidR="00C6255A" w:rsidRDefault="00C6255A" w:rsidP="00662378"/>
          <w:p w14:paraId="7B6F5927" w14:textId="79BC3A68" w:rsidR="00C6255A" w:rsidRDefault="00C6255A" w:rsidP="00662378"/>
          <w:p w14:paraId="451990C1" w14:textId="7DC6CF38" w:rsidR="00C6255A" w:rsidRDefault="00C6255A" w:rsidP="00662378"/>
          <w:p w14:paraId="4F089C6A" w14:textId="18657F21" w:rsidR="00A34821" w:rsidRDefault="00A34821" w:rsidP="00662378"/>
          <w:p w14:paraId="08CAC8B1" w14:textId="6681EE83" w:rsidR="00A34821" w:rsidRDefault="00A34821" w:rsidP="00662378"/>
          <w:p w14:paraId="21A80AFB" w14:textId="46BA0E88" w:rsidR="00A34821" w:rsidRDefault="00A34821" w:rsidP="00662378"/>
          <w:p w14:paraId="6ACC5EF4" w14:textId="3D63B7E4" w:rsidR="00A34821" w:rsidRDefault="00A34821" w:rsidP="00662378"/>
          <w:p w14:paraId="35928C68" w14:textId="52213ECF" w:rsidR="00A34821" w:rsidRDefault="00A34821" w:rsidP="00662378"/>
          <w:p w14:paraId="60735A8C" w14:textId="44659469" w:rsidR="00A34821" w:rsidRDefault="00A34821" w:rsidP="00662378"/>
          <w:p w14:paraId="07FB5B09" w14:textId="50E02868" w:rsidR="00A34821" w:rsidRDefault="00A34821" w:rsidP="00662378"/>
          <w:p w14:paraId="427B0A34" w14:textId="0543405D" w:rsidR="00A34821" w:rsidRDefault="00A34821" w:rsidP="00662378"/>
          <w:p w14:paraId="0008F09A" w14:textId="77777777" w:rsidR="00A34821" w:rsidRDefault="00A34821" w:rsidP="00662378"/>
          <w:p w14:paraId="3FC12380" w14:textId="6F7BAE8E" w:rsidR="00C6255A" w:rsidRDefault="00C6255A" w:rsidP="00662378"/>
          <w:p w14:paraId="3C527D03" w14:textId="141F4842" w:rsidR="00F24247" w:rsidRPr="00523EA2" w:rsidRDefault="00F24247" w:rsidP="00C6255A"/>
        </w:tc>
      </w:tr>
      <w:tr w:rsidR="00560CCE" w:rsidRPr="001B40A2" w14:paraId="08CBF6F8" w14:textId="77777777" w:rsidTr="00523EA2">
        <w:trPr>
          <w:trHeight w:val="638"/>
        </w:trPr>
        <w:tc>
          <w:tcPr>
            <w:tcW w:w="9558" w:type="dxa"/>
            <w:gridSpan w:val="2"/>
            <w:shd w:val="clear" w:color="auto" w:fill="31849B" w:themeFill="accent5" w:themeFillShade="BF"/>
            <w:vAlign w:val="center"/>
          </w:tcPr>
          <w:p w14:paraId="5B453340" w14:textId="0A988F95" w:rsidR="00560CCE" w:rsidRPr="00FF2627" w:rsidRDefault="00DE1AC8" w:rsidP="00FF2627">
            <w:pPr>
              <w:spacing w:before="100" w:beforeAutospacing="1" w:after="100" w:afterAutospacing="1"/>
              <w:rPr>
                <w:b/>
                <w:color w:val="FFFFFF" w:themeColor="background1"/>
              </w:rPr>
            </w:pPr>
            <w:r>
              <w:rPr>
                <w:b/>
                <w:color w:val="FFFFFF" w:themeColor="background1"/>
              </w:rPr>
              <w:lastRenderedPageBreak/>
              <w:t>Library Values and Equity in Access</w:t>
            </w:r>
          </w:p>
        </w:tc>
      </w:tr>
      <w:tr w:rsidR="00560CCE" w:rsidRPr="001B40A2" w14:paraId="2B32BBEC" w14:textId="77777777" w:rsidTr="00523EA2">
        <w:trPr>
          <w:trHeight w:val="1070"/>
        </w:trPr>
        <w:tc>
          <w:tcPr>
            <w:tcW w:w="9558" w:type="dxa"/>
            <w:gridSpan w:val="2"/>
            <w:tcBorders>
              <w:bottom w:val="single" w:sz="4" w:space="0" w:color="auto"/>
            </w:tcBorders>
          </w:tcPr>
          <w:p w14:paraId="0C52DD71" w14:textId="77777777" w:rsidR="00421E2A" w:rsidRDefault="00DE1AC8" w:rsidP="00DE1AC8">
            <w:r>
              <w:t xml:space="preserve">With increased understanding, many communities and library associations (see ALA’s </w:t>
            </w:r>
            <w:hyperlink r:id="rId10" w:history="1">
              <w:r>
                <w:rPr>
                  <w:rStyle w:val="Hyperlink"/>
                </w:rPr>
                <w:t>Resolution on Monetary Library Fines as a Form of Social Inequity</w:t>
              </w:r>
            </w:hyperlink>
            <w:r w:rsidRPr="00B70551">
              <w:t xml:space="preserve"> </w:t>
            </w:r>
            <w:r>
              <w:t xml:space="preserve">- </w:t>
            </w:r>
            <w:r w:rsidRPr="00B70551">
              <w:t>pdf</w:t>
            </w:r>
            <w:r>
              <w:t xml:space="preserve">) are supporting libraries in becoming fine free. Explore the literature and resources listed on the event page and consider/discuss how these efforts align with library and community values related to eliminating barriers and ensuring access for all. </w:t>
            </w:r>
          </w:p>
          <w:p w14:paraId="1ACCED53" w14:textId="77777777" w:rsidR="00421E2A" w:rsidRDefault="00421E2A" w:rsidP="00DE1AC8"/>
          <w:p w14:paraId="211B41D6" w14:textId="4C3D0309" w:rsidR="00DE1AC8" w:rsidRDefault="00421E2A" w:rsidP="00DE1AC8">
            <w:r w:rsidRPr="00421E2A">
              <w:t xml:space="preserve">How does going fine free align with your </w:t>
            </w:r>
            <w:r>
              <w:t xml:space="preserve">library’s </w:t>
            </w:r>
            <w:r w:rsidRPr="00421E2A">
              <w:t xml:space="preserve">core mission and values? </w:t>
            </w:r>
            <w:r>
              <w:t>With your community values?</w:t>
            </w:r>
          </w:p>
          <w:p w14:paraId="3E02189C" w14:textId="77777777" w:rsidR="00DE1AC8" w:rsidRDefault="00DE1AC8" w:rsidP="008C572A"/>
          <w:p w14:paraId="1BBE3FAE" w14:textId="14813128" w:rsidR="008C572A" w:rsidRDefault="008C572A" w:rsidP="008C572A"/>
          <w:p w14:paraId="3B47793D" w14:textId="4F2AFE6C" w:rsidR="005640BE" w:rsidRDefault="005640BE" w:rsidP="008C572A"/>
          <w:p w14:paraId="4B0BE5DD" w14:textId="77777777" w:rsidR="005640BE" w:rsidRDefault="005640BE" w:rsidP="008C572A"/>
          <w:p w14:paraId="57D146CE" w14:textId="273F000D" w:rsidR="00A55B03" w:rsidRDefault="00A55B03" w:rsidP="008C572A"/>
          <w:p w14:paraId="58CF7E72" w14:textId="6D80718F" w:rsidR="008C572A" w:rsidRPr="00C70DC4" w:rsidRDefault="008C572A" w:rsidP="008C572A">
            <w:pPr>
              <w:rPr>
                <w:noProof/>
              </w:rPr>
            </w:pPr>
          </w:p>
        </w:tc>
      </w:tr>
      <w:tr w:rsidR="00FA06FF" w:rsidRPr="001B40A2" w14:paraId="2786307C" w14:textId="77777777" w:rsidTr="00523EA2">
        <w:trPr>
          <w:trHeight w:val="638"/>
        </w:trPr>
        <w:tc>
          <w:tcPr>
            <w:tcW w:w="9558" w:type="dxa"/>
            <w:gridSpan w:val="2"/>
            <w:shd w:val="clear" w:color="auto" w:fill="31849B" w:themeFill="accent5" w:themeFillShade="BF"/>
            <w:vAlign w:val="center"/>
          </w:tcPr>
          <w:p w14:paraId="723CF4BF" w14:textId="2D0B8069" w:rsidR="00FA06FF" w:rsidRPr="00FF2627" w:rsidRDefault="00C6255A" w:rsidP="00FA06FF">
            <w:pPr>
              <w:spacing w:before="100" w:beforeAutospacing="1" w:after="100" w:afterAutospacing="1"/>
              <w:rPr>
                <w:b/>
                <w:iCs/>
                <w:color w:val="FFFFFF" w:themeColor="background1"/>
              </w:rPr>
            </w:pPr>
            <w:r>
              <w:rPr>
                <w:b/>
                <w:iCs/>
                <w:color w:val="FFFFFF" w:themeColor="background1"/>
              </w:rPr>
              <w:t>Gather the Facts</w:t>
            </w:r>
          </w:p>
        </w:tc>
      </w:tr>
      <w:tr w:rsidR="00FA06FF" w:rsidRPr="001B40A2" w14:paraId="34C271C3" w14:textId="77777777" w:rsidTr="00FA06FF">
        <w:trPr>
          <w:trHeight w:val="638"/>
        </w:trPr>
        <w:tc>
          <w:tcPr>
            <w:tcW w:w="9558" w:type="dxa"/>
            <w:gridSpan w:val="2"/>
            <w:shd w:val="clear" w:color="auto" w:fill="auto"/>
          </w:tcPr>
          <w:p w14:paraId="79BF50E6" w14:textId="36CACCE6" w:rsidR="00C6255A" w:rsidRDefault="009E6228" w:rsidP="00C70DC4">
            <w:r>
              <w:t>Build out</w:t>
            </w:r>
            <w:r w:rsidR="00C6255A">
              <w:t xml:space="preserve"> your plan</w:t>
            </w:r>
            <w:r>
              <w:t xml:space="preserve"> by gathering additional information including:</w:t>
            </w:r>
          </w:p>
          <w:p w14:paraId="1D236754" w14:textId="77777777" w:rsidR="009E6228" w:rsidRPr="00C6255A" w:rsidRDefault="009E6228" w:rsidP="00C70DC4"/>
          <w:p w14:paraId="0DE24865" w14:textId="2007E148" w:rsidR="00C6255A" w:rsidRDefault="00C6255A" w:rsidP="00A34821">
            <w:pPr>
              <w:pStyle w:val="ListParagraph"/>
              <w:numPr>
                <w:ilvl w:val="0"/>
                <w:numId w:val="18"/>
              </w:numPr>
              <w:spacing w:line="600" w:lineRule="auto"/>
            </w:pPr>
            <w:r>
              <w:t>Internal data on blocked cards</w:t>
            </w:r>
            <w:r w:rsidR="009E6228">
              <w:t>/cards with fines</w:t>
            </w:r>
          </w:p>
          <w:p w14:paraId="3D001193" w14:textId="58BAF5B1" w:rsidR="00C6255A" w:rsidRDefault="009E6228" w:rsidP="00A34821">
            <w:pPr>
              <w:pStyle w:val="ListParagraph"/>
              <w:numPr>
                <w:ilvl w:val="0"/>
                <w:numId w:val="18"/>
              </w:numPr>
              <w:spacing w:line="600" w:lineRule="auto"/>
            </w:pPr>
            <w:r>
              <w:t>Community data on d</w:t>
            </w:r>
            <w:r w:rsidR="00C6255A">
              <w:t>emographics</w:t>
            </w:r>
            <w:r>
              <w:t xml:space="preserve">, income, and housing of </w:t>
            </w:r>
            <w:r w:rsidR="00C6255A">
              <w:t>disenfranchised</w:t>
            </w:r>
          </w:p>
          <w:p w14:paraId="46AF07CC" w14:textId="22B02D45" w:rsidR="00C6255A" w:rsidRDefault="009E6228" w:rsidP="00A34821">
            <w:pPr>
              <w:pStyle w:val="ListParagraph"/>
              <w:numPr>
                <w:ilvl w:val="0"/>
                <w:numId w:val="18"/>
              </w:numPr>
              <w:spacing w:line="600" w:lineRule="auto"/>
            </w:pPr>
            <w:r>
              <w:t>Current r</w:t>
            </w:r>
            <w:r w:rsidR="00C6255A">
              <w:t>evenue generated by fines</w:t>
            </w:r>
          </w:p>
          <w:p w14:paraId="43CAFD51" w14:textId="706EE625" w:rsidR="00C6255A" w:rsidRDefault="00C6255A" w:rsidP="00A34821">
            <w:pPr>
              <w:pStyle w:val="ListParagraph"/>
              <w:numPr>
                <w:ilvl w:val="0"/>
                <w:numId w:val="18"/>
              </w:numPr>
              <w:spacing w:line="600" w:lineRule="auto"/>
            </w:pPr>
            <w:r>
              <w:t>Anticipated loss of revenue (separate calculation if activating auto-renewal)</w:t>
            </w:r>
          </w:p>
          <w:p w14:paraId="469EF7F7" w14:textId="604E7534" w:rsidR="00A55B03" w:rsidRDefault="009E6228" w:rsidP="00A059AB">
            <w:pPr>
              <w:pStyle w:val="ListParagraph"/>
              <w:numPr>
                <w:ilvl w:val="0"/>
                <w:numId w:val="18"/>
              </w:numPr>
              <w:spacing w:line="600" w:lineRule="auto"/>
            </w:pPr>
            <w:r>
              <w:t xml:space="preserve">Other research on real impact of going fine-free (see multiple resources on </w:t>
            </w:r>
            <w:hyperlink r:id="rId11" w:history="1">
              <w:r w:rsidRPr="00A059AB">
                <w:rPr>
                  <w:rStyle w:val="Hyperlink"/>
                </w:rPr>
                <w:t>webinar page</w:t>
              </w:r>
            </w:hyperlink>
            <w:r>
              <w:t>)</w:t>
            </w:r>
          </w:p>
          <w:p w14:paraId="5005F3CD" w14:textId="723FB7D6" w:rsidR="00C70DC4" w:rsidRDefault="00C70DC4" w:rsidP="00C70DC4"/>
          <w:p w14:paraId="072ED5B8" w14:textId="77777777" w:rsidR="00A34821" w:rsidRDefault="00D95438" w:rsidP="00D95438">
            <w:r>
              <w:t>Begin to identify</w:t>
            </w:r>
            <w:r w:rsidRPr="00F24247">
              <w:t xml:space="preserve"> potential questions, concerns, or objections do you anticipate, and from whom</w:t>
            </w:r>
            <w:r>
              <w:t>. Consider all the stakeholders, including</w:t>
            </w:r>
            <w:r w:rsidR="00A34821">
              <w:t>:</w:t>
            </w:r>
          </w:p>
          <w:p w14:paraId="39680448" w14:textId="77777777" w:rsidR="00A34821" w:rsidRDefault="00A34821" w:rsidP="00D95438"/>
          <w:p w14:paraId="5DF7CA60" w14:textId="56EF6A34" w:rsidR="00A34821" w:rsidRDefault="00A34821" w:rsidP="00A34821">
            <w:pPr>
              <w:pStyle w:val="ListParagraph"/>
              <w:numPr>
                <w:ilvl w:val="0"/>
                <w:numId w:val="19"/>
              </w:numPr>
              <w:spacing w:line="360" w:lineRule="auto"/>
            </w:pPr>
            <w:r>
              <w:t>L</w:t>
            </w:r>
            <w:r w:rsidR="00D95438">
              <w:t>ibrary staff</w:t>
            </w:r>
          </w:p>
          <w:p w14:paraId="2B63A72C" w14:textId="7A78E413" w:rsidR="00A34821" w:rsidRDefault="00A34821" w:rsidP="00A34821">
            <w:pPr>
              <w:pStyle w:val="ListParagraph"/>
              <w:numPr>
                <w:ilvl w:val="0"/>
                <w:numId w:val="19"/>
              </w:numPr>
              <w:spacing w:line="360" w:lineRule="auto"/>
            </w:pPr>
            <w:r>
              <w:t xml:space="preserve">Trustees and </w:t>
            </w:r>
            <w:r w:rsidR="00D95438">
              <w:t>board</w:t>
            </w:r>
            <w:r>
              <w:t>s</w:t>
            </w:r>
          </w:p>
          <w:p w14:paraId="0EE667AF" w14:textId="50530A74" w:rsidR="00A34821" w:rsidRDefault="00A34821" w:rsidP="00A34821">
            <w:pPr>
              <w:pStyle w:val="ListParagraph"/>
              <w:numPr>
                <w:ilvl w:val="0"/>
                <w:numId w:val="19"/>
              </w:numPr>
              <w:spacing w:line="360" w:lineRule="auto"/>
            </w:pPr>
            <w:r>
              <w:t>P</w:t>
            </w:r>
            <w:r w:rsidR="00D95438">
              <w:t>atrons</w:t>
            </w:r>
          </w:p>
          <w:p w14:paraId="45364DD4" w14:textId="5B47BC0E" w:rsidR="00A34821" w:rsidRDefault="00A34821" w:rsidP="00A34821">
            <w:pPr>
              <w:pStyle w:val="ListParagraph"/>
              <w:numPr>
                <w:ilvl w:val="0"/>
                <w:numId w:val="19"/>
              </w:numPr>
              <w:spacing w:line="360" w:lineRule="auto"/>
            </w:pPr>
            <w:r>
              <w:t>T</w:t>
            </w:r>
            <w:r w:rsidR="00D95438">
              <w:t>axpayers</w:t>
            </w:r>
          </w:p>
          <w:p w14:paraId="6A06594C" w14:textId="1AEC3EC8" w:rsidR="00A34821" w:rsidRDefault="00A34821" w:rsidP="00A34821">
            <w:pPr>
              <w:pStyle w:val="ListParagraph"/>
              <w:numPr>
                <w:ilvl w:val="0"/>
                <w:numId w:val="19"/>
              </w:numPr>
              <w:spacing w:line="360" w:lineRule="auto"/>
            </w:pPr>
            <w:r>
              <w:t>Funders</w:t>
            </w:r>
          </w:p>
          <w:p w14:paraId="661D5D9B" w14:textId="28A4275A" w:rsidR="00D95438" w:rsidRDefault="00D95438" w:rsidP="00A34821">
            <w:pPr>
              <w:pStyle w:val="ListParagraph"/>
              <w:numPr>
                <w:ilvl w:val="0"/>
                <w:numId w:val="19"/>
              </w:numPr>
              <w:spacing w:line="360" w:lineRule="auto"/>
            </w:pPr>
            <w:r>
              <w:t>Friends</w:t>
            </w:r>
            <w:r w:rsidR="00A34821">
              <w:t xml:space="preserve"> and </w:t>
            </w:r>
            <w:r>
              <w:t>foundation</w:t>
            </w:r>
          </w:p>
          <w:p w14:paraId="3C866BBB" w14:textId="4FA6B17E" w:rsidR="00A34821" w:rsidRDefault="00A34821" w:rsidP="00A34821">
            <w:pPr>
              <w:pStyle w:val="ListParagraph"/>
              <w:numPr>
                <w:ilvl w:val="0"/>
                <w:numId w:val="19"/>
              </w:numPr>
            </w:pPr>
            <w:r>
              <w:t xml:space="preserve">Other: </w:t>
            </w:r>
          </w:p>
          <w:p w14:paraId="1678D650" w14:textId="77777777" w:rsidR="00FA06FF" w:rsidRDefault="00FA06FF" w:rsidP="00047B22">
            <w:pPr>
              <w:rPr>
                <w:b/>
                <w:color w:val="FFFFFF" w:themeColor="background1"/>
              </w:rPr>
            </w:pPr>
          </w:p>
        </w:tc>
      </w:tr>
      <w:tr w:rsidR="00FA06FF" w:rsidRPr="001B40A2" w14:paraId="076FAA2F" w14:textId="77777777" w:rsidTr="00523EA2">
        <w:trPr>
          <w:trHeight w:val="638"/>
        </w:trPr>
        <w:tc>
          <w:tcPr>
            <w:tcW w:w="9558" w:type="dxa"/>
            <w:gridSpan w:val="2"/>
            <w:shd w:val="clear" w:color="auto" w:fill="31849B" w:themeFill="accent5" w:themeFillShade="BF"/>
            <w:vAlign w:val="center"/>
          </w:tcPr>
          <w:p w14:paraId="546024C6" w14:textId="1B5ADD96" w:rsidR="00FA06FF" w:rsidRPr="00FF2627" w:rsidRDefault="00B0359B" w:rsidP="00B0359B">
            <w:pPr>
              <w:spacing w:before="100" w:beforeAutospacing="1" w:after="100" w:afterAutospacing="1"/>
              <w:rPr>
                <w:b/>
                <w:iCs/>
                <w:color w:val="FFFFFF" w:themeColor="background1"/>
              </w:rPr>
            </w:pPr>
            <w:r>
              <w:rPr>
                <w:b/>
                <w:iCs/>
                <w:color w:val="FFFFFF" w:themeColor="background1"/>
              </w:rPr>
              <w:lastRenderedPageBreak/>
              <w:t>Creating, Practicing and Refining the Message</w:t>
            </w:r>
          </w:p>
        </w:tc>
      </w:tr>
      <w:tr w:rsidR="00FA06FF" w:rsidRPr="001B40A2" w14:paraId="2CFE18D7" w14:textId="77777777" w:rsidTr="00B70551">
        <w:trPr>
          <w:trHeight w:val="6254"/>
        </w:trPr>
        <w:tc>
          <w:tcPr>
            <w:tcW w:w="9558" w:type="dxa"/>
            <w:gridSpan w:val="2"/>
            <w:tcBorders>
              <w:bottom w:val="single" w:sz="4" w:space="0" w:color="auto"/>
            </w:tcBorders>
          </w:tcPr>
          <w:p w14:paraId="7C6B7A01" w14:textId="35D521E8" w:rsidR="00BD6B4D" w:rsidRDefault="00BD6B4D" w:rsidP="00BD6B4D">
            <w:pPr>
              <w:pStyle w:val="NormalWeb"/>
              <w:rPr>
                <w:rFonts w:asciiTheme="minorHAnsi" w:hAnsiTheme="minorHAnsi"/>
                <w:bCs/>
                <w:sz w:val="22"/>
                <w:szCs w:val="22"/>
              </w:rPr>
            </w:pPr>
            <w:r w:rsidRPr="00BD6B4D">
              <w:rPr>
                <w:rFonts w:asciiTheme="minorHAnsi" w:eastAsia="MS Gothic" w:hAnsiTheme="minorHAnsi" w:cstheme="minorHAnsi"/>
                <w:bCs/>
                <w:noProof/>
                <w:sz w:val="22"/>
                <w:szCs w:val="22"/>
              </w:rPr>
              <w:t xml:space="preserve">Now it’s time to craft your key message for stakeholders. Using the </w:t>
            </w:r>
            <w:r w:rsidRPr="00BD6B4D">
              <w:rPr>
                <w:rStyle w:val="Strong"/>
                <w:rFonts w:asciiTheme="minorHAnsi" w:hAnsiTheme="minorHAnsi"/>
                <w:b w:val="0"/>
                <w:color w:val="000000" w:themeColor="text1"/>
                <w:sz w:val="22"/>
                <w:szCs w:val="22"/>
              </w:rPr>
              <w:t>27-9-3 Rule</w:t>
            </w:r>
            <w:r w:rsidRPr="00BD6B4D">
              <w:rPr>
                <w:rFonts w:asciiTheme="minorHAnsi" w:hAnsiTheme="minorHAnsi"/>
                <w:bCs/>
                <w:color w:val="000000" w:themeColor="text1"/>
                <w:sz w:val="22"/>
                <w:szCs w:val="22"/>
              </w:rPr>
              <w:t xml:space="preserve"> </w:t>
            </w:r>
            <w:r w:rsidRPr="00BD6B4D">
              <w:rPr>
                <w:rFonts w:asciiTheme="minorHAnsi" w:hAnsiTheme="minorHAnsi"/>
                <w:bCs/>
                <w:sz w:val="22"/>
                <w:szCs w:val="22"/>
              </w:rPr>
              <w:t>is a</w:t>
            </w:r>
            <w:r w:rsidRPr="00BD6B4D">
              <w:rPr>
                <w:rFonts w:asciiTheme="minorHAnsi" w:eastAsia="MS Gothic" w:hAnsiTheme="minorHAnsi" w:cstheme="minorHAnsi"/>
                <w:bCs/>
                <w:noProof/>
                <w:sz w:val="22"/>
                <w:szCs w:val="22"/>
              </w:rPr>
              <w:t xml:space="preserve"> good way to begin to refine your message into a short, susinct and convincing package. Learn more about the </w:t>
            </w:r>
            <w:hyperlink r:id="rId12" w:history="1">
              <w:r w:rsidRPr="00BD6B4D">
                <w:rPr>
                  <w:rStyle w:val="Strong"/>
                  <w:rFonts w:asciiTheme="minorHAnsi" w:hAnsiTheme="minorHAnsi"/>
                  <w:b w:val="0"/>
                  <w:color w:val="0000FF"/>
                  <w:sz w:val="22"/>
                  <w:szCs w:val="22"/>
                  <w:u w:val="single"/>
                </w:rPr>
                <w:t>27-9-3 Rule</w:t>
              </w:r>
            </w:hyperlink>
            <w:r w:rsidRPr="00BD6B4D">
              <w:rPr>
                <w:rFonts w:asciiTheme="minorHAnsi" w:eastAsia="MS Gothic" w:hAnsiTheme="minorHAnsi" w:cstheme="minorHAnsi"/>
                <w:bCs/>
                <w:noProof/>
                <w:sz w:val="22"/>
                <w:szCs w:val="22"/>
              </w:rPr>
              <w:t xml:space="preserve"> in a short </w:t>
            </w:r>
            <w:r w:rsidRPr="00BD6B4D">
              <w:rPr>
                <w:rFonts w:asciiTheme="minorHAnsi" w:hAnsiTheme="minorHAnsi"/>
                <w:bCs/>
                <w:sz w:val="22"/>
                <w:szCs w:val="22"/>
              </w:rPr>
              <w:t>20-minute County Health Rankings &amp; Roadmaps webinar</w:t>
            </w:r>
            <w:r w:rsidRPr="00BD6B4D">
              <w:rPr>
                <w:rFonts w:asciiTheme="minorHAnsi" w:eastAsia="MS Gothic" w:hAnsiTheme="minorHAnsi" w:cstheme="minorHAnsi"/>
                <w:bCs/>
                <w:noProof/>
                <w:sz w:val="22"/>
                <w:szCs w:val="22"/>
              </w:rPr>
              <w:t xml:space="preserve">, and use </w:t>
            </w:r>
            <w:r w:rsidRPr="00BD6B4D">
              <w:rPr>
                <w:rFonts w:asciiTheme="minorHAnsi" w:hAnsiTheme="minorHAnsi"/>
                <w:bCs/>
                <w:sz w:val="22"/>
                <w:szCs w:val="22"/>
              </w:rPr>
              <w:t xml:space="preserve">the </w:t>
            </w:r>
            <w:hyperlink r:id="rId13" w:history="1">
              <w:r w:rsidRPr="00BD6B4D">
                <w:rPr>
                  <w:rStyle w:val="Hyperlink"/>
                  <w:rFonts w:asciiTheme="minorHAnsi" w:hAnsiTheme="minorHAnsi"/>
                  <w:bCs/>
                  <w:sz w:val="22"/>
                  <w:szCs w:val="22"/>
                </w:rPr>
                <w:t>27-9-3 Rule worksheet</w:t>
              </w:r>
            </w:hyperlink>
            <w:r w:rsidRPr="00BD6B4D">
              <w:rPr>
                <w:rFonts w:asciiTheme="minorHAnsi" w:hAnsiTheme="minorHAnsi"/>
                <w:bCs/>
                <w:sz w:val="22"/>
                <w:szCs w:val="22"/>
              </w:rPr>
              <w:t xml:space="preserve"> (pdf) to </w:t>
            </w:r>
            <w:r>
              <w:rPr>
                <w:rFonts w:asciiTheme="minorHAnsi" w:hAnsiTheme="minorHAnsi"/>
                <w:bCs/>
                <w:sz w:val="22"/>
                <w:szCs w:val="22"/>
              </w:rPr>
              <w:t>craft your message.</w:t>
            </w:r>
          </w:p>
          <w:p w14:paraId="4C829F17" w14:textId="4A1E1F14" w:rsidR="00BD6B4D" w:rsidRDefault="00BD6B4D" w:rsidP="00BD6B4D">
            <w:pPr>
              <w:pStyle w:val="NormalWeb"/>
              <w:rPr>
                <w:rFonts w:asciiTheme="minorHAnsi" w:hAnsiTheme="minorHAnsi"/>
                <w:bCs/>
                <w:sz w:val="22"/>
                <w:szCs w:val="22"/>
              </w:rPr>
            </w:pPr>
          </w:p>
          <w:p w14:paraId="009B276C" w14:textId="1CB77D69" w:rsidR="00BD6B4D" w:rsidRDefault="00BD6B4D" w:rsidP="00BD6B4D">
            <w:pPr>
              <w:pStyle w:val="NormalWeb"/>
              <w:rPr>
                <w:rFonts w:asciiTheme="minorHAnsi" w:hAnsiTheme="minorHAnsi"/>
                <w:bCs/>
                <w:sz w:val="22"/>
                <w:szCs w:val="22"/>
              </w:rPr>
            </w:pPr>
          </w:p>
          <w:p w14:paraId="5C713338" w14:textId="77777777" w:rsidR="00A34821" w:rsidRDefault="00A34821" w:rsidP="00BD6B4D">
            <w:pPr>
              <w:pStyle w:val="NormalWeb"/>
              <w:rPr>
                <w:rFonts w:asciiTheme="minorHAnsi" w:hAnsiTheme="minorHAnsi"/>
                <w:bCs/>
                <w:sz w:val="22"/>
                <w:szCs w:val="22"/>
              </w:rPr>
            </w:pPr>
          </w:p>
          <w:p w14:paraId="0ABBF2AD" w14:textId="727035AC" w:rsidR="00BD6B4D" w:rsidRPr="00BD6B4D" w:rsidRDefault="00BD6B4D" w:rsidP="00BD6B4D">
            <w:pPr>
              <w:pStyle w:val="NormalWeb"/>
              <w:rPr>
                <w:rFonts w:asciiTheme="minorHAnsi" w:eastAsia="MS Gothic" w:hAnsiTheme="minorHAnsi" w:cstheme="minorHAnsi"/>
                <w:bCs/>
                <w:noProof/>
                <w:sz w:val="22"/>
                <w:szCs w:val="22"/>
              </w:rPr>
            </w:pPr>
            <w:r w:rsidRPr="00BD6B4D">
              <w:rPr>
                <w:rFonts w:asciiTheme="minorHAnsi" w:hAnsiTheme="minorHAnsi"/>
                <w:bCs/>
                <w:noProof/>
                <w:sz w:val="22"/>
                <w:szCs w:val="22"/>
              </w:rPr>
              <w:t>Start to workshop or test your message first with someone you trust. Ask them to consider how they might experience receiving the message by roleplaying some of your stakeholders</w:t>
            </w:r>
            <w:r w:rsidR="00A34821">
              <w:rPr>
                <w:rFonts w:asciiTheme="minorHAnsi" w:hAnsiTheme="minorHAnsi"/>
                <w:bCs/>
                <w:noProof/>
                <w:sz w:val="22"/>
                <w:szCs w:val="22"/>
              </w:rPr>
              <w:t xml:space="preserve">, </w:t>
            </w:r>
            <w:r w:rsidRPr="00BD6B4D">
              <w:rPr>
                <w:rFonts w:asciiTheme="minorHAnsi" w:hAnsiTheme="minorHAnsi"/>
                <w:bCs/>
                <w:noProof/>
                <w:sz w:val="22"/>
                <w:szCs w:val="22"/>
              </w:rPr>
              <w:t xml:space="preserve">using the </w:t>
            </w:r>
            <w:r w:rsidRPr="00BD6B4D">
              <w:rPr>
                <w:rFonts w:asciiTheme="minorHAnsi" w:hAnsiTheme="minorHAnsi"/>
                <w:sz w:val="22"/>
                <w:szCs w:val="22"/>
              </w:rPr>
              <w:t>potential questions, concerns, or objections do you identified above.</w:t>
            </w:r>
            <w:r w:rsidR="00A34821">
              <w:rPr>
                <w:rFonts w:asciiTheme="minorHAnsi" w:hAnsiTheme="minorHAnsi"/>
                <w:sz w:val="22"/>
                <w:szCs w:val="22"/>
              </w:rPr>
              <w:t xml:space="preserve"> Adjust your message based on what you learned and test some more!</w:t>
            </w:r>
          </w:p>
          <w:p w14:paraId="62CE2810" w14:textId="42347F3C" w:rsidR="00BD6B4D" w:rsidRPr="00BD6B4D" w:rsidRDefault="00BD6B4D" w:rsidP="00D95438">
            <w:pPr>
              <w:rPr>
                <w:rFonts w:eastAsia="MS Gothic" w:cstheme="minorHAnsi"/>
                <w:bCs/>
                <w:noProof/>
              </w:rPr>
            </w:pPr>
          </w:p>
          <w:p w14:paraId="5807596A" w14:textId="060A55DF" w:rsidR="008945DB" w:rsidRPr="0078553B" w:rsidRDefault="008945DB" w:rsidP="00A34821">
            <w:pPr>
              <w:tabs>
                <w:tab w:val="left" w:pos="1125"/>
              </w:tabs>
              <w:ind w:left="1125"/>
              <w:rPr>
                <w:noProof/>
              </w:rPr>
            </w:pPr>
          </w:p>
        </w:tc>
      </w:tr>
      <w:tr w:rsidR="00FA06FF" w:rsidRPr="001B40A2" w14:paraId="0061A046" w14:textId="77777777" w:rsidTr="00B70551">
        <w:trPr>
          <w:trHeight w:val="576"/>
        </w:trPr>
        <w:tc>
          <w:tcPr>
            <w:tcW w:w="9558" w:type="dxa"/>
            <w:gridSpan w:val="2"/>
            <w:shd w:val="clear" w:color="auto" w:fill="31849B" w:themeFill="accent5" w:themeFillShade="BF"/>
            <w:vAlign w:val="center"/>
          </w:tcPr>
          <w:p w14:paraId="030F6350" w14:textId="1FD7CDD1" w:rsidR="00FA06FF" w:rsidRDefault="00FA06FF" w:rsidP="00FA06FF">
            <w:pPr>
              <w:rPr>
                <w:b/>
                <w:color w:val="FFFFFF" w:themeColor="background1"/>
              </w:rPr>
            </w:pPr>
            <w:r>
              <w:rPr>
                <w:b/>
                <w:color w:val="FFFFFF" w:themeColor="background1"/>
              </w:rPr>
              <w:t xml:space="preserve">Action Plan: </w:t>
            </w:r>
            <w:r w:rsidRPr="004034B9">
              <w:rPr>
                <w:color w:val="FFFFFF" w:themeColor="background1"/>
              </w:rPr>
              <w:t>(include next steps, who, when, etc.)</w:t>
            </w:r>
          </w:p>
        </w:tc>
      </w:tr>
      <w:tr w:rsidR="00FA06FF" w:rsidRPr="00B16A14" w14:paraId="7BE39834" w14:textId="77777777" w:rsidTr="00523EA2">
        <w:trPr>
          <w:trHeight w:val="1070"/>
        </w:trPr>
        <w:tc>
          <w:tcPr>
            <w:tcW w:w="9558" w:type="dxa"/>
            <w:gridSpan w:val="2"/>
          </w:tcPr>
          <w:p w14:paraId="3C4E575A" w14:textId="77777777" w:rsidR="00FA06FF" w:rsidRDefault="00FA06FF" w:rsidP="00FA06FF">
            <w:pPr>
              <w:rPr>
                <w:noProof/>
              </w:rPr>
            </w:pPr>
          </w:p>
          <w:p w14:paraId="367F0EAA" w14:textId="4E10A597" w:rsidR="00FA06FF" w:rsidRDefault="00FA06FF" w:rsidP="00FA06FF">
            <w:pPr>
              <w:rPr>
                <w:noProof/>
              </w:rPr>
            </w:pPr>
          </w:p>
          <w:p w14:paraId="5FEAF8EC" w14:textId="4CF355F4" w:rsidR="00FA06FF" w:rsidRDefault="00FA06FF" w:rsidP="00FA06FF">
            <w:pPr>
              <w:rPr>
                <w:noProof/>
              </w:rPr>
            </w:pPr>
          </w:p>
          <w:p w14:paraId="545C5B7C" w14:textId="77777777" w:rsidR="00FA06FF" w:rsidRDefault="00FA06FF" w:rsidP="00FA06FF">
            <w:pPr>
              <w:rPr>
                <w:noProof/>
              </w:rPr>
            </w:pPr>
          </w:p>
          <w:p w14:paraId="762E9782" w14:textId="07483DA0" w:rsidR="00FA06FF" w:rsidRDefault="00FA06FF" w:rsidP="00FA06FF">
            <w:pPr>
              <w:rPr>
                <w:noProof/>
              </w:rPr>
            </w:pPr>
          </w:p>
          <w:p w14:paraId="7970D83F" w14:textId="7924E0C5" w:rsidR="00047B22" w:rsidRDefault="00047B22" w:rsidP="00FA06FF">
            <w:pPr>
              <w:rPr>
                <w:noProof/>
              </w:rPr>
            </w:pPr>
          </w:p>
          <w:p w14:paraId="16CFD763" w14:textId="3E86A125" w:rsidR="00047B22" w:rsidRDefault="00047B22" w:rsidP="00FA06FF">
            <w:pPr>
              <w:rPr>
                <w:noProof/>
              </w:rPr>
            </w:pPr>
          </w:p>
          <w:p w14:paraId="4DE0DA6A" w14:textId="4627E368" w:rsidR="00047B22" w:rsidRDefault="00047B22" w:rsidP="00FA06FF">
            <w:pPr>
              <w:rPr>
                <w:noProof/>
              </w:rPr>
            </w:pPr>
          </w:p>
          <w:p w14:paraId="24FFADBD" w14:textId="04602CEC" w:rsidR="00047B22" w:rsidRDefault="00047B22" w:rsidP="00FA06FF">
            <w:pPr>
              <w:rPr>
                <w:noProof/>
              </w:rPr>
            </w:pPr>
          </w:p>
          <w:p w14:paraId="00DAA122" w14:textId="40467C79" w:rsidR="00047B22" w:rsidRDefault="00047B22" w:rsidP="00FA06FF">
            <w:pPr>
              <w:rPr>
                <w:noProof/>
              </w:rPr>
            </w:pPr>
          </w:p>
          <w:p w14:paraId="747752E8" w14:textId="77777777" w:rsidR="00FA06FF" w:rsidRDefault="00FA06FF" w:rsidP="00FA06FF">
            <w:pPr>
              <w:rPr>
                <w:noProof/>
              </w:rPr>
            </w:pPr>
          </w:p>
          <w:p w14:paraId="14067C49" w14:textId="1237D4D2" w:rsidR="00FA06FF" w:rsidRDefault="00FA06FF" w:rsidP="00FA06FF">
            <w:pPr>
              <w:rPr>
                <w:noProof/>
              </w:rPr>
            </w:pPr>
          </w:p>
          <w:p w14:paraId="22964407" w14:textId="79BC9895" w:rsidR="0078553B" w:rsidRDefault="0078553B" w:rsidP="00FA06FF">
            <w:pPr>
              <w:rPr>
                <w:noProof/>
              </w:rPr>
            </w:pPr>
          </w:p>
          <w:p w14:paraId="53367660" w14:textId="6B683097" w:rsidR="0078553B" w:rsidRDefault="0078553B" w:rsidP="00FA06FF">
            <w:pPr>
              <w:rPr>
                <w:noProof/>
              </w:rPr>
            </w:pPr>
          </w:p>
          <w:p w14:paraId="171D0A64" w14:textId="502469C8" w:rsidR="0078553B" w:rsidRDefault="0078553B" w:rsidP="00FA06FF">
            <w:pPr>
              <w:rPr>
                <w:noProof/>
              </w:rPr>
            </w:pPr>
          </w:p>
          <w:p w14:paraId="1FFAF420" w14:textId="79743AA0" w:rsidR="0078553B" w:rsidRDefault="0078553B" w:rsidP="00FA06FF">
            <w:pPr>
              <w:rPr>
                <w:noProof/>
              </w:rPr>
            </w:pPr>
          </w:p>
          <w:p w14:paraId="7AFA0581" w14:textId="77777777" w:rsidR="0078553B" w:rsidRDefault="0078553B" w:rsidP="00FA06FF">
            <w:pPr>
              <w:rPr>
                <w:noProof/>
              </w:rPr>
            </w:pPr>
          </w:p>
          <w:p w14:paraId="57DAB1CB" w14:textId="4C8476B4" w:rsidR="00C44B02" w:rsidRPr="00B16A14" w:rsidRDefault="00C44B02" w:rsidP="00BD6B4D">
            <w:pPr>
              <w:pStyle w:val="NormalWeb"/>
              <w:ind w:left="600"/>
              <w:rPr>
                <w:b/>
                <w:noProof/>
              </w:rPr>
            </w:pPr>
          </w:p>
        </w:tc>
      </w:tr>
    </w:tbl>
    <w:p w14:paraId="6552EC76" w14:textId="77777777" w:rsidR="000D302A" w:rsidRDefault="000D302A"/>
    <w:sectPr w:rsidR="000D302A" w:rsidSect="008F03E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71918" w14:textId="77777777" w:rsidR="00D971ED" w:rsidRDefault="00D971ED" w:rsidP="0071561B">
      <w:pPr>
        <w:spacing w:after="0" w:line="240" w:lineRule="auto"/>
      </w:pPr>
      <w:r>
        <w:separator/>
      </w:r>
    </w:p>
  </w:endnote>
  <w:endnote w:type="continuationSeparator" w:id="0">
    <w:p w14:paraId="6C9AF1A8" w14:textId="77777777" w:rsidR="00D971ED" w:rsidRDefault="00D971ED"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640B7" w14:textId="77777777" w:rsidR="0071561B" w:rsidRDefault="00715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5BBE6" w14:textId="77777777" w:rsidR="0071561B" w:rsidRDefault="00715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79968" w14:textId="77777777" w:rsidR="0071561B" w:rsidRDefault="00715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09781" w14:textId="77777777" w:rsidR="00D971ED" w:rsidRDefault="00D971ED" w:rsidP="0071561B">
      <w:pPr>
        <w:spacing w:after="0" w:line="240" w:lineRule="auto"/>
      </w:pPr>
      <w:r>
        <w:separator/>
      </w:r>
    </w:p>
  </w:footnote>
  <w:footnote w:type="continuationSeparator" w:id="0">
    <w:p w14:paraId="64D607C9" w14:textId="77777777" w:rsidR="00D971ED" w:rsidRDefault="00D971ED"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64118" w14:textId="77777777" w:rsidR="0071561B" w:rsidRDefault="00715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CBA0" w14:textId="77777777" w:rsidR="0071561B" w:rsidRDefault="00715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4BC1F" w14:textId="77777777" w:rsidR="0071561B" w:rsidRDefault="00715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E2E99"/>
    <w:multiLevelType w:val="hybridMultilevel"/>
    <w:tmpl w:val="A7E8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B3AB7"/>
    <w:multiLevelType w:val="hybridMultilevel"/>
    <w:tmpl w:val="8938C9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10582A"/>
    <w:multiLevelType w:val="hybridMultilevel"/>
    <w:tmpl w:val="0C82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5177E"/>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7" w15:restartNumberingAfterBreak="0">
    <w:nsid w:val="2FEA52B1"/>
    <w:multiLevelType w:val="multilevel"/>
    <w:tmpl w:val="42D66E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9292839"/>
    <w:multiLevelType w:val="hybridMultilevel"/>
    <w:tmpl w:val="9372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034AD4"/>
    <w:multiLevelType w:val="hybridMultilevel"/>
    <w:tmpl w:val="D2BAB0A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FC3AD4"/>
    <w:multiLevelType w:val="hybridMultilevel"/>
    <w:tmpl w:val="514AE612"/>
    <w:lvl w:ilvl="0" w:tplc="E13C37BC">
      <w:start w:val="1"/>
      <w:numFmt w:val="decimal"/>
      <w:lvlText w:val="%1."/>
      <w:lvlJc w:val="left"/>
      <w:pPr>
        <w:tabs>
          <w:tab w:val="num" w:pos="720"/>
        </w:tabs>
        <w:ind w:left="720" w:hanging="360"/>
      </w:pPr>
    </w:lvl>
    <w:lvl w:ilvl="1" w:tplc="9066119E" w:tentative="1">
      <w:start w:val="1"/>
      <w:numFmt w:val="decimal"/>
      <w:lvlText w:val="%2."/>
      <w:lvlJc w:val="left"/>
      <w:pPr>
        <w:tabs>
          <w:tab w:val="num" w:pos="1440"/>
        </w:tabs>
        <w:ind w:left="1440" w:hanging="360"/>
      </w:pPr>
    </w:lvl>
    <w:lvl w:ilvl="2" w:tplc="29122552" w:tentative="1">
      <w:start w:val="1"/>
      <w:numFmt w:val="decimal"/>
      <w:lvlText w:val="%3."/>
      <w:lvlJc w:val="left"/>
      <w:pPr>
        <w:tabs>
          <w:tab w:val="num" w:pos="2160"/>
        </w:tabs>
        <w:ind w:left="2160" w:hanging="360"/>
      </w:pPr>
    </w:lvl>
    <w:lvl w:ilvl="3" w:tplc="219E0A68" w:tentative="1">
      <w:start w:val="1"/>
      <w:numFmt w:val="decimal"/>
      <w:lvlText w:val="%4."/>
      <w:lvlJc w:val="left"/>
      <w:pPr>
        <w:tabs>
          <w:tab w:val="num" w:pos="2880"/>
        </w:tabs>
        <w:ind w:left="2880" w:hanging="360"/>
      </w:pPr>
    </w:lvl>
    <w:lvl w:ilvl="4" w:tplc="9EC68D00" w:tentative="1">
      <w:start w:val="1"/>
      <w:numFmt w:val="decimal"/>
      <w:lvlText w:val="%5."/>
      <w:lvlJc w:val="left"/>
      <w:pPr>
        <w:tabs>
          <w:tab w:val="num" w:pos="3600"/>
        </w:tabs>
        <w:ind w:left="3600" w:hanging="360"/>
      </w:pPr>
    </w:lvl>
    <w:lvl w:ilvl="5" w:tplc="E4AC30F8" w:tentative="1">
      <w:start w:val="1"/>
      <w:numFmt w:val="decimal"/>
      <w:lvlText w:val="%6."/>
      <w:lvlJc w:val="left"/>
      <w:pPr>
        <w:tabs>
          <w:tab w:val="num" w:pos="4320"/>
        </w:tabs>
        <w:ind w:left="4320" w:hanging="360"/>
      </w:pPr>
    </w:lvl>
    <w:lvl w:ilvl="6" w:tplc="F208BC56" w:tentative="1">
      <w:start w:val="1"/>
      <w:numFmt w:val="decimal"/>
      <w:lvlText w:val="%7."/>
      <w:lvlJc w:val="left"/>
      <w:pPr>
        <w:tabs>
          <w:tab w:val="num" w:pos="5040"/>
        </w:tabs>
        <w:ind w:left="5040" w:hanging="360"/>
      </w:pPr>
    </w:lvl>
    <w:lvl w:ilvl="7" w:tplc="AED0CEA6" w:tentative="1">
      <w:start w:val="1"/>
      <w:numFmt w:val="decimal"/>
      <w:lvlText w:val="%8."/>
      <w:lvlJc w:val="left"/>
      <w:pPr>
        <w:tabs>
          <w:tab w:val="num" w:pos="5760"/>
        </w:tabs>
        <w:ind w:left="5760" w:hanging="360"/>
      </w:pPr>
    </w:lvl>
    <w:lvl w:ilvl="8" w:tplc="685E7F34" w:tentative="1">
      <w:start w:val="1"/>
      <w:numFmt w:val="decimal"/>
      <w:lvlText w:val="%9."/>
      <w:lvlJc w:val="left"/>
      <w:pPr>
        <w:tabs>
          <w:tab w:val="num" w:pos="6480"/>
        </w:tabs>
        <w:ind w:left="6480" w:hanging="360"/>
      </w:pPr>
    </w:lvl>
  </w:abstractNum>
  <w:abstractNum w:abstractNumId="14" w15:restartNumberingAfterBreak="0">
    <w:nsid w:val="66784AFF"/>
    <w:multiLevelType w:val="hybridMultilevel"/>
    <w:tmpl w:val="9B2A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066BF5"/>
    <w:multiLevelType w:val="hybridMultilevel"/>
    <w:tmpl w:val="E27C3D20"/>
    <w:lvl w:ilvl="0" w:tplc="572490C2">
      <w:start w:val="1"/>
      <w:numFmt w:val="decimal"/>
      <w:lvlText w:val="%1."/>
      <w:lvlJc w:val="left"/>
      <w:pPr>
        <w:tabs>
          <w:tab w:val="num" w:pos="720"/>
        </w:tabs>
        <w:ind w:left="720" w:hanging="360"/>
      </w:pPr>
    </w:lvl>
    <w:lvl w:ilvl="1" w:tplc="D5523B8A" w:tentative="1">
      <w:start w:val="1"/>
      <w:numFmt w:val="decimal"/>
      <w:lvlText w:val="%2."/>
      <w:lvlJc w:val="left"/>
      <w:pPr>
        <w:tabs>
          <w:tab w:val="num" w:pos="1440"/>
        </w:tabs>
        <w:ind w:left="1440" w:hanging="360"/>
      </w:pPr>
    </w:lvl>
    <w:lvl w:ilvl="2" w:tplc="B00EBFC4" w:tentative="1">
      <w:start w:val="1"/>
      <w:numFmt w:val="decimal"/>
      <w:lvlText w:val="%3."/>
      <w:lvlJc w:val="left"/>
      <w:pPr>
        <w:tabs>
          <w:tab w:val="num" w:pos="2160"/>
        </w:tabs>
        <w:ind w:left="2160" w:hanging="360"/>
      </w:pPr>
    </w:lvl>
    <w:lvl w:ilvl="3" w:tplc="5210A258" w:tentative="1">
      <w:start w:val="1"/>
      <w:numFmt w:val="decimal"/>
      <w:lvlText w:val="%4."/>
      <w:lvlJc w:val="left"/>
      <w:pPr>
        <w:tabs>
          <w:tab w:val="num" w:pos="2880"/>
        </w:tabs>
        <w:ind w:left="2880" w:hanging="360"/>
      </w:pPr>
    </w:lvl>
    <w:lvl w:ilvl="4" w:tplc="901A9AA0" w:tentative="1">
      <w:start w:val="1"/>
      <w:numFmt w:val="decimal"/>
      <w:lvlText w:val="%5."/>
      <w:lvlJc w:val="left"/>
      <w:pPr>
        <w:tabs>
          <w:tab w:val="num" w:pos="3600"/>
        </w:tabs>
        <w:ind w:left="3600" w:hanging="360"/>
      </w:pPr>
    </w:lvl>
    <w:lvl w:ilvl="5" w:tplc="6BB220B0" w:tentative="1">
      <w:start w:val="1"/>
      <w:numFmt w:val="decimal"/>
      <w:lvlText w:val="%6."/>
      <w:lvlJc w:val="left"/>
      <w:pPr>
        <w:tabs>
          <w:tab w:val="num" w:pos="4320"/>
        </w:tabs>
        <w:ind w:left="4320" w:hanging="360"/>
      </w:pPr>
    </w:lvl>
    <w:lvl w:ilvl="6" w:tplc="59E88FA8" w:tentative="1">
      <w:start w:val="1"/>
      <w:numFmt w:val="decimal"/>
      <w:lvlText w:val="%7."/>
      <w:lvlJc w:val="left"/>
      <w:pPr>
        <w:tabs>
          <w:tab w:val="num" w:pos="5040"/>
        </w:tabs>
        <w:ind w:left="5040" w:hanging="360"/>
      </w:pPr>
    </w:lvl>
    <w:lvl w:ilvl="7" w:tplc="AC3C25D8" w:tentative="1">
      <w:start w:val="1"/>
      <w:numFmt w:val="decimal"/>
      <w:lvlText w:val="%8."/>
      <w:lvlJc w:val="left"/>
      <w:pPr>
        <w:tabs>
          <w:tab w:val="num" w:pos="5760"/>
        </w:tabs>
        <w:ind w:left="5760" w:hanging="360"/>
      </w:pPr>
    </w:lvl>
    <w:lvl w:ilvl="8" w:tplc="2D186128" w:tentative="1">
      <w:start w:val="1"/>
      <w:numFmt w:val="decimal"/>
      <w:lvlText w:val="%9."/>
      <w:lvlJc w:val="left"/>
      <w:pPr>
        <w:tabs>
          <w:tab w:val="num" w:pos="6480"/>
        </w:tabs>
        <w:ind w:left="6480" w:hanging="360"/>
      </w:pPr>
    </w:lvl>
  </w:abstractNum>
  <w:abstractNum w:abstractNumId="17"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num w:numId="1">
    <w:abstractNumId w:val="1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5"/>
  </w:num>
  <w:num w:numId="6">
    <w:abstractNumId w:val="0"/>
  </w:num>
  <w:num w:numId="7">
    <w:abstractNumId w:val="4"/>
  </w:num>
  <w:num w:numId="8">
    <w:abstractNumId w:val="17"/>
  </w:num>
  <w:num w:numId="9">
    <w:abstractNumId w:val="10"/>
  </w:num>
  <w:num w:numId="10">
    <w:abstractNumId w:val="1"/>
  </w:num>
  <w:num w:numId="11">
    <w:abstractNumId w:val="3"/>
  </w:num>
  <w:num w:numId="12">
    <w:abstractNumId w:val="6"/>
  </w:num>
  <w:num w:numId="13">
    <w:abstractNumId w:val="13"/>
  </w:num>
  <w:num w:numId="14">
    <w:abstractNumId w:val="16"/>
  </w:num>
  <w:num w:numId="15">
    <w:abstractNumId w:val="9"/>
  </w:num>
  <w:num w:numId="16">
    <w:abstractNumId w:val="11"/>
  </w:num>
  <w:num w:numId="17">
    <w:abstractNumId w:val="7"/>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CE"/>
    <w:rsid w:val="00001FEC"/>
    <w:rsid w:val="00005AE2"/>
    <w:rsid w:val="000338D6"/>
    <w:rsid w:val="000369F8"/>
    <w:rsid w:val="00045800"/>
    <w:rsid w:val="00047B22"/>
    <w:rsid w:val="000B35E2"/>
    <w:rsid w:val="000B7DF2"/>
    <w:rsid w:val="000D302A"/>
    <w:rsid w:val="000F293A"/>
    <w:rsid w:val="001105DD"/>
    <w:rsid w:val="00133BB6"/>
    <w:rsid w:val="00145243"/>
    <w:rsid w:val="00147C79"/>
    <w:rsid w:val="001547E5"/>
    <w:rsid w:val="00157690"/>
    <w:rsid w:val="001B1EA5"/>
    <w:rsid w:val="001E7442"/>
    <w:rsid w:val="00204D72"/>
    <w:rsid w:val="00207A18"/>
    <w:rsid w:val="00215828"/>
    <w:rsid w:val="00241403"/>
    <w:rsid w:val="00265C9D"/>
    <w:rsid w:val="002B4E44"/>
    <w:rsid w:val="002E5763"/>
    <w:rsid w:val="0030751C"/>
    <w:rsid w:val="003751E7"/>
    <w:rsid w:val="003872E7"/>
    <w:rsid w:val="003B63FE"/>
    <w:rsid w:val="003D3A8F"/>
    <w:rsid w:val="003E2D4C"/>
    <w:rsid w:val="00400762"/>
    <w:rsid w:val="0040076B"/>
    <w:rsid w:val="00421E2A"/>
    <w:rsid w:val="004337BE"/>
    <w:rsid w:val="004367FC"/>
    <w:rsid w:val="00470E42"/>
    <w:rsid w:val="00482F9C"/>
    <w:rsid w:val="004907BC"/>
    <w:rsid w:val="004B27CB"/>
    <w:rsid w:val="004D276C"/>
    <w:rsid w:val="004E6F4A"/>
    <w:rsid w:val="00523EA2"/>
    <w:rsid w:val="00560CCE"/>
    <w:rsid w:val="0056137C"/>
    <w:rsid w:val="005640BE"/>
    <w:rsid w:val="00565D92"/>
    <w:rsid w:val="00580BF8"/>
    <w:rsid w:val="00590C90"/>
    <w:rsid w:val="005A6DBF"/>
    <w:rsid w:val="005C2C45"/>
    <w:rsid w:val="005E20C8"/>
    <w:rsid w:val="006121AB"/>
    <w:rsid w:val="00633A02"/>
    <w:rsid w:val="00652686"/>
    <w:rsid w:val="006561D8"/>
    <w:rsid w:val="00662378"/>
    <w:rsid w:val="006636EC"/>
    <w:rsid w:val="00684A49"/>
    <w:rsid w:val="0069512A"/>
    <w:rsid w:val="006B7246"/>
    <w:rsid w:val="007120A7"/>
    <w:rsid w:val="00713367"/>
    <w:rsid w:val="0071561B"/>
    <w:rsid w:val="00731ECF"/>
    <w:rsid w:val="007658AC"/>
    <w:rsid w:val="0077633D"/>
    <w:rsid w:val="0078553B"/>
    <w:rsid w:val="00785C6A"/>
    <w:rsid w:val="007B3B82"/>
    <w:rsid w:val="007C7128"/>
    <w:rsid w:val="00805F2D"/>
    <w:rsid w:val="00816D73"/>
    <w:rsid w:val="00856E11"/>
    <w:rsid w:val="008945DB"/>
    <w:rsid w:val="008B3349"/>
    <w:rsid w:val="008B3F6D"/>
    <w:rsid w:val="008C4BAD"/>
    <w:rsid w:val="008C572A"/>
    <w:rsid w:val="00901CA8"/>
    <w:rsid w:val="00912972"/>
    <w:rsid w:val="00912E44"/>
    <w:rsid w:val="00924077"/>
    <w:rsid w:val="00924401"/>
    <w:rsid w:val="00935EC6"/>
    <w:rsid w:val="00936A6B"/>
    <w:rsid w:val="00981923"/>
    <w:rsid w:val="0099601A"/>
    <w:rsid w:val="009B5309"/>
    <w:rsid w:val="009E0D52"/>
    <w:rsid w:val="009E6228"/>
    <w:rsid w:val="00A059AB"/>
    <w:rsid w:val="00A20152"/>
    <w:rsid w:val="00A34821"/>
    <w:rsid w:val="00A35C65"/>
    <w:rsid w:val="00A55B03"/>
    <w:rsid w:val="00A83E41"/>
    <w:rsid w:val="00AA0665"/>
    <w:rsid w:val="00AC6FE9"/>
    <w:rsid w:val="00AF6800"/>
    <w:rsid w:val="00B02248"/>
    <w:rsid w:val="00B0359B"/>
    <w:rsid w:val="00B25218"/>
    <w:rsid w:val="00B343C2"/>
    <w:rsid w:val="00B62773"/>
    <w:rsid w:val="00B70551"/>
    <w:rsid w:val="00B91B33"/>
    <w:rsid w:val="00BA1F2A"/>
    <w:rsid w:val="00BD6B4D"/>
    <w:rsid w:val="00C1701A"/>
    <w:rsid w:val="00C34336"/>
    <w:rsid w:val="00C44B02"/>
    <w:rsid w:val="00C6255A"/>
    <w:rsid w:val="00C70DC4"/>
    <w:rsid w:val="00C81275"/>
    <w:rsid w:val="00C82CE4"/>
    <w:rsid w:val="00CA61C6"/>
    <w:rsid w:val="00CE50BA"/>
    <w:rsid w:val="00CF3BA7"/>
    <w:rsid w:val="00D1325C"/>
    <w:rsid w:val="00D1763F"/>
    <w:rsid w:val="00D358E9"/>
    <w:rsid w:val="00D45D0D"/>
    <w:rsid w:val="00D54DE2"/>
    <w:rsid w:val="00D61E18"/>
    <w:rsid w:val="00D902EA"/>
    <w:rsid w:val="00D95438"/>
    <w:rsid w:val="00D971ED"/>
    <w:rsid w:val="00DA3452"/>
    <w:rsid w:val="00DB7326"/>
    <w:rsid w:val="00DC3919"/>
    <w:rsid w:val="00DC50C6"/>
    <w:rsid w:val="00DE1AC8"/>
    <w:rsid w:val="00E038CE"/>
    <w:rsid w:val="00E12483"/>
    <w:rsid w:val="00E20818"/>
    <w:rsid w:val="00E22563"/>
    <w:rsid w:val="00E60C42"/>
    <w:rsid w:val="00E868EF"/>
    <w:rsid w:val="00EA7CFE"/>
    <w:rsid w:val="00EB09C1"/>
    <w:rsid w:val="00F044AE"/>
    <w:rsid w:val="00F165EC"/>
    <w:rsid w:val="00F16C8F"/>
    <w:rsid w:val="00F24247"/>
    <w:rsid w:val="00F42F53"/>
    <w:rsid w:val="00F535CB"/>
    <w:rsid w:val="00FA06FF"/>
    <w:rsid w:val="00FC53A0"/>
    <w:rsid w:val="00FD0854"/>
    <w:rsid w:val="00FD6193"/>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styleId="UnresolvedMention">
    <w:name w:val="Unresolved Mention"/>
    <w:basedOn w:val="DefaultParagraphFont"/>
    <w:uiPriority w:val="99"/>
    <w:semiHidden/>
    <w:unhideWhenUsed/>
    <w:rsid w:val="00F53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989283752">
      <w:bodyDiv w:val="1"/>
      <w:marLeft w:val="0"/>
      <w:marRight w:val="0"/>
      <w:marTop w:val="0"/>
      <w:marBottom w:val="0"/>
      <w:divBdr>
        <w:top w:val="none" w:sz="0" w:space="0" w:color="auto"/>
        <w:left w:val="none" w:sz="0" w:space="0" w:color="auto"/>
        <w:bottom w:val="none" w:sz="0" w:space="0" w:color="auto"/>
        <w:right w:val="none" w:sz="0" w:space="0" w:color="auto"/>
      </w:divBdr>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1064332645">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5985041">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sChild>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38882866">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1463229558">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48576255">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eliminating-library-fines.html" TargetMode="External"/><Relationship Id="rId13" Type="http://schemas.openxmlformats.org/officeDocument/2006/relationships/hyperlink" Target="https://www.webjunction.org/content/dam/WebJunction/Documents/webJunction/Topics/smart-spaces/27-9-3-worksheet.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untyhealthrankings.org/learn-from-others/webinars/how-to-craft-a-quick-and-persuasive-message-the-27-9-3-rul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bjunction.org/events/webjunction/eliminating-library-fin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la.org/aboutala/sites/ala.org.aboutala/files/content/Resolution%20on%20Monetary%20Library%20Fines%20as%20a%20Form%20of%20Social%20Inequity-FINAL.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ensus.gov/programs-surveys/acs/data.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8EE2A-A6DB-49D2-8378-368996E8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5</cp:revision>
  <cp:lastPrinted>2020-12-29T18:10:00Z</cp:lastPrinted>
  <dcterms:created xsi:type="dcterms:W3CDTF">2021-06-10T17:12:00Z</dcterms:created>
  <dcterms:modified xsi:type="dcterms:W3CDTF">2021-06-14T04:24:00Z</dcterms:modified>
</cp:coreProperties>
</file>