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04160" w14:textId="77777777" w:rsidR="00283CC1" w:rsidRDefault="00283CC1" w:rsidP="00283CC1">
      <w:pPr>
        <w:spacing w:line="240" w:lineRule="auto"/>
        <w:contextualSpacing/>
        <w:rPr>
          <w:rFonts w:asciiTheme="majorHAnsi" w:eastAsiaTheme="majorEastAsia" w:hAnsiTheme="majorHAnsi" w:cstheme="majorBidi"/>
          <w:b/>
          <w:bCs/>
          <w:color w:val="365F91" w:themeColor="accent1" w:themeShade="BF"/>
          <w:sz w:val="28"/>
          <w:szCs w:val="28"/>
        </w:rPr>
      </w:pPr>
      <w:r w:rsidRPr="00283CC1">
        <w:rPr>
          <w:rFonts w:asciiTheme="majorHAnsi" w:eastAsiaTheme="majorEastAsia" w:hAnsiTheme="majorHAnsi" w:cstheme="majorBidi"/>
          <w:b/>
          <w:bCs/>
          <w:color w:val="365F91" w:themeColor="accent1" w:themeShade="BF"/>
          <w:sz w:val="28"/>
          <w:szCs w:val="28"/>
        </w:rPr>
        <w:t>One Step at a Time: How Libraries Can Promote Healthy, Thriving, and Livable Communities</w:t>
      </w:r>
      <w:r>
        <w:rPr>
          <w:rFonts w:asciiTheme="majorHAnsi" w:eastAsiaTheme="majorEastAsia" w:hAnsiTheme="majorHAnsi" w:cstheme="majorBidi"/>
          <w:b/>
          <w:bCs/>
          <w:color w:val="365F91" w:themeColor="accent1" w:themeShade="BF"/>
          <w:sz w:val="28"/>
          <w:szCs w:val="28"/>
        </w:rPr>
        <w:t>, Learner Guide</w:t>
      </w:r>
    </w:p>
    <w:p w14:paraId="7ABED5E3" w14:textId="280F764C" w:rsidR="00283CC1" w:rsidRPr="00283CC1" w:rsidRDefault="00525682" w:rsidP="00283CC1">
      <w:pPr>
        <w:spacing w:line="240" w:lineRule="auto"/>
        <w:contextualSpacing/>
        <w:rPr>
          <w:rFonts w:asciiTheme="majorHAnsi" w:eastAsiaTheme="majorEastAsia" w:hAnsiTheme="majorHAnsi" w:cstheme="majorBidi"/>
          <w:b/>
          <w:bCs/>
          <w:color w:val="365F91" w:themeColor="accent1" w:themeShade="BF"/>
          <w:sz w:val="28"/>
          <w:szCs w:val="28"/>
        </w:rPr>
      </w:pPr>
      <w:hyperlink r:id="rId8" w:history="1">
        <w:r w:rsidR="00283CC1" w:rsidRPr="00202364">
          <w:rPr>
            <w:rStyle w:val="Hyperlink"/>
          </w:rPr>
          <w:t>https://www.webjunction.org/events/webjunction/one-step-at-a-time.html</w:t>
        </w:r>
      </w:hyperlink>
    </w:p>
    <w:p w14:paraId="6CB06CE2" w14:textId="77777777" w:rsidR="00283CC1" w:rsidRDefault="001C7008" w:rsidP="00E75152">
      <w:pPr>
        <w:pStyle w:val="NormalWeb"/>
        <w:rPr>
          <w:rFonts w:asciiTheme="minorHAnsi" w:hAnsiTheme="minorHAnsi" w:cstheme="minorHAnsi"/>
          <w:sz w:val="22"/>
          <w:szCs w:val="22"/>
        </w:rPr>
      </w:pPr>
      <w:r w:rsidRPr="008C68E5">
        <w:rPr>
          <w:rFonts w:asciiTheme="minorHAnsi" w:hAnsiTheme="minorHAnsi" w:cstheme="minorHAnsi"/>
          <w:b/>
          <w:color w:val="000000"/>
          <w:sz w:val="22"/>
          <w:szCs w:val="22"/>
        </w:rPr>
        <w:t>Event Description</w:t>
      </w:r>
      <w:r w:rsidRPr="008C68E5">
        <w:rPr>
          <w:rFonts w:asciiTheme="minorHAnsi" w:hAnsiTheme="minorHAnsi" w:cstheme="minorHAnsi"/>
          <w:color w:val="000000"/>
          <w:sz w:val="22"/>
          <w:szCs w:val="22"/>
        </w:rPr>
        <w:t xml:space="preserve">: </w:t>
      </w:r>
      <w:r w:rsidR="00283CC1" w:rsidRPr="00283CC1">
        <w:rPr>
          <w:rFonts w:asciiTheme="minorHAnsi" w:hAnsiTheme="minorHAnsi" w:cstheme="minorHAnsi"/>
          <w:sz w:val="22"/>
          <w:szCs w:val="22"/>
        </w:rPr>
        <w:t>During COVID-19 stay at home orders, improvements to air and water quality around the globe showed how changing our transportation practices could benefit the environment. We also know that physical activities, like walking, can help prevent chronic diseases and promote health. This webinar will highlight the multiple benefits of walking and walkable communities, and provide the information and inspiration you need to join the hundreds of public libraries around the country that are contributing to the development of healthy and resilient communities. Learn how to advocate for safe walking routes to your libraries, how to partner with parks and recreation, local transportation departments, and others committed to building safe, accessible, equitable places to walk and move.</w:t>
      </w:r>
    </w:p>
    <w:p w14:paraId="3ECBDDAD" w14:textId="0ED6B659" w:rsidR="001C7008" w:rsidRPr="00283CC1" w:rsidRDefault="00E75152" w:rsidP="00E75152">
      <w:pPr>
        <w:pStyle w:val="NormalWeb"/>
        <w:rPr>
          <w:rFonts w:asciiTheme="minorHAnsi" w:hAnsiTheme="minorHAnsi" w:cstheme="minorHAnsi"/>
          <w:sz w:val="22"/>
          <w:szCs w:val="22"/>
        </w:rPr>
      </w:pPr>
      <w:r w:rsidRPr="00E75152">
        <w:rPr>
          <w:rFonts w:asciiTheme="minorHAnsi" w:hAnsiTheme="minorHAnsi" w:cstheme="minorHAnsi"/>
          <w:b/>
          <w:bCs/>
          <w:sz w:val="22"/>
          <w:szCs w:val="22"/>
        </w:rPr>
        <w:t>Presented by</w:t>
      </w:r>
      <w:r w:rsidRPr="00E75152">
        <w:rPr>
          <w:rFonts w:asciiTheme="minorHAnsi" w:hAnsiTheme="minorHAnsi" w:cstheme="minorHAnsi"/>
          <w:sz w:val="22"/>
          <w:szCs w:val="22"/>
        </w:rPr>
        <w:t xml:space="preserve">: </w:t>
      </w:r>
      <w:r w:rsidR="00283CC1" w:rsidRPr="00283CC1">
        <w:rPr>
          <w:rFonts w:asciiTheme="minorHAnsi" w:hAnsiTheme="minorHAnsi" w:cstheme="minorHAnsi"/>
          <w:sz w:val="22"/>
          <w:szCs w:val="22"/>
        </w:rPr>
        <w:t xml:space="preserve">Mike McGinn, Executive Director, America Walks; Noah Lenstra, Director, Let’s Move in Libraries; Mary Sizemore, Director, High Point Public Library (NC); Jeffrey T. Davis, Branch Manager at San Diego Public Library and author, </w:t>
      </w:r>
      <w:r w:rsidR="00283CC1" w:rsidRPr="00283CC1">
        <w:rPr>
          <w:rFonts w:asciiTheme="minorHAnsi" w:hAnsiTheme="minorHAnsi" w:cstheme="minorHAnsi"/>
          <w:i/>
          <w:iCs/>
          <w:sz w:val="22"/>
          <w:szCs w:val="22"/>
        </w:rPr>
        <w:t>The Collection All Around: Sharing Our Cities, Towns, and Natural Places</w:t>
      </w:r>
    </w:p>
    <w:tbl>
      <w:tblPr>
        <w:tblStyle w:val="TableGrid"/>
        <w:tblW w:w="9558" w:type="dxa"/>
        <w:tblLook w:val="04A0" w:firstRow="1" w:lastRow="0" w:firstColumn="1" w:lastColumn="0" w:noHBand="0" w:noVBand="1"/>
      </w:tblPr>
      <w:tblGrid>
        <w:gridCol w:w="1518"/>
        <w:gridCol w:w="7950"/>
        <w:gridCol w:w="90"/>
      </w:tblGrid>
      <w:tr w:rsidR="00560CCE" w:rsidRPr="00093DC8" w14:paraId="44481815" w14:textId="77777777" w:rsidTr="00166715">
        <w:trPr>
          <w:gridAfter w:val="1"/>
          <w:wAfter w:w="90" w:type="dxa"/>
          <w:trHeight w:val="503"/>
        </w:trPr>
        <w:tc>
          <w:tcPr>
            <w:tcW w:w="9468" w:type="dxa"/>
            <w:gridSpan w:val="2"/>
            <w:shd w:val="clear" w:color="auto" w:fill="31849B" w:themeFill="accent5" w:themeFillShade="BF"/>
            <w:vAlign w:val="center"/>
          </w:tcPr>
          <w:p w14:paraId="20DFC9A9" w14:textId="77777777" w:rsidR="00560CCE" w:rsidRPr="00093DC8" w:rsidRDefault="00560CCE" w:rsidP="00C87458">
            <w:pPr>
              <w:rPr>
                <w:rFonts w:cstheme="minorHAnsi"/>
                <w:b/>
                <w:color w:val="FFFFFF" w:themeColor="background1"/>
                <w:sz w:val="24"/>
              </w:rPr>
            </w:pPr>
            <w:r w:rsidRPr="00093DC8">
              <w:rPr>
                <w:rFonts w:cstheme="minorHAnsi"/>
                <w:b/>
                <w:color w:val="FFFFFF" w:themeColor="background1"/>
                <w:sz w:val="24"/>
              </w:rPr>
              <w:t>What are your goals for viewing this webinar?</w:t>
            </w:r>
          </w:p>
        </w:tc>
      </w:tr>
      <w:tr w:rsidR="00560CCE" w:rsidRPr="00093DC8" w14:paraId="4B3FC002" w14:textId="77777777" w:rsidTr="00166715">
        <w:trPr>
          <w:gridAfter w:val="1"/>
          <w:wAfter w:w="90" w:type="dxa"/>
          <w:trHeight w:val="764"/>
        </w:trPr>
        <w:tc>
          <w:tcPr>
            <w:tcW w:w="1518" w:type="dxa"/>
            <w:shd w:val="clear" w:color="auto" w:fill="92CDDC" w:themeFill="accent5" w:themeFillTint="99"/>
            <w:vAlign w:val="center"/>
          </w:tcPr>
          <w:p w14:paraId="1CD0C69B" w14:textId="77777777" w:rsidR="00560CCE" w:rsidRPr="00093DC8" w:rsidRDefault="00560CCE" w:rsidP="00C87458">
            <w:pPr>
              <w:rPr>
                <w:rFonts w:cstheme="minorHAnsi"/>
                <w:sz w:val="24"/>
              </w:rPr>
            </w:pPr>
            <w:r w:rsidRPr="00093DC8">
              <w:rPr>
                <w:rFonts w:cstheme="minorHAnsi"/>
                <w:b/>
                <w:sz w:val="24"/>
              </w:rPr>
              <w:t>Personal Goals</w:t>
            </w:r>
          </w:p>
        </w:tc>
        <w:tc>
          <w:tcPr>
            <w:tcW w:w="7950" w:type="dxa"/>
            <w:vAlign w:val="center"/>
          </w:tcPr>
          <w:p w14:paraId="359241DF" w14:textId="77777777" w:rsidR="00560CCE" w:rsidRPr="00093DC8" w:rsidRDefault="00560CCE" w:rsidP="00C87458">
            <w:pPr>
              <w:rPr>
                <w:rFonts w:cstheme="minorHAnsi"/>
                <w:sz w:val="24"/>
              </w:rPr>
            </w:pPr>
          </w:p>
          <w:p w14:paraId="5FC9D22E" w14:textId="77777777" w:rsidR="005B68CE" w:rsidRPr="00093DC8" w:rsidRDefault="005B68CE" w:rsidP="00C87458">
            <w:pPr>
              <w:rPr>
                <w:rFonts w:cstheme="minorHAnsi"/>
                <w:sz w:val="24"/>
              </w:rPr>
            </w:pPr>
          </w:p>
          <w:p w14:paraId="105FEE25" w14:textId="46F5D3C4" w:rsidR="005B68CE" w:rsidRPr="00093DC8" w:rsidRDefault="005B68CE" w:rsidP="00C87458">
            <w:pPr>
              <w:rPr>
                <w:rFonts w:cstheme="minorHAnsi"/>
                <w:sz w:val="24"/>
              </w:rPr>
            </w:pPr>
          </w:p>
        </w:tc>
      </w:tr>
      <w:tr w:rsidR="00560CCE" w:rsidRPr="00093DC8" w14:paraId="1D92BA34" w14:textId="77777777" w:rsidTr="00166715">
        <w:trPr>
          <w:gridAfter w:val="1"/>
          <w:wAfter w:w="90" w:type="dxa"/>
          <w:cantSplit/>
          <w:trHeight w:val="863"/>
        </w:trPr>
        <w:tc>
          <w:tcPr>
            <w:tcW w:w="1518" w:type="dxa"/>
            <w:shd w:val="clear" w:color="auto" w:fill="92CDDC" w:themeFill="accent5" w:themeFillTint="99"/>
            <w:vAlign w:val="center"/>
          </w:tcPr>
          <w:p w14:paraId="67B5D9E7" w14:textId="77777777" w:rsidR="00560CCE" w:rsidRPr="00093DC8" w:rsidRDefault="00560CCE" w:rsidP="00C87458">
            <w:pPr>
              <w:rPr>
                <w:rFonts w:cstheme="minorHAnsi"/>
                <w:sz w:val="24"/>
              </w:rPr>
            </w:pPr>
            <w:r w:rsidRPr="00093DC8">
              <w:rPr>
                <w:rFonts w:cstheme="minorHAnsi"/>
                <w:b/>
                <w:sz w:val="24"/>
              </w:rPr>
              <w:t>Team Goals</w:t>
            </w:r>
          </w:p>
        </w:tc>
        <w:tc>
          <w:tcPr>
            <w:tcW w:w="7950" w:type="dxa"/>
            <w:vAlign w:val="center"/>
          </w:tcPr>
          <w:p w14:paraId="51ED016A" w14:textId="77777777" w:rsidR="005B68CE" w:rsidRPr="00093DC8" w:rsidRDefault="005B68CE" w:rsidP="00C87458">
            <w:pPr>
              <w:rPr>
                <w:rFonts w:cstheme="minorHAnsi"/>
                <w:sz w:val="24"/>
              </w:rPr>
            </w:pPr>
          </w:p>
          <w:p w14:paraId="46755034" w14:textId="37123E4E" w:rsidR="005B68CE" w:rsidRPr="00093DC8" w:rsidRDefault="005B68CE" w:rsidP="00C87458">
            <w:pPr>
              <w:rPr>
                <w:rFonts w:cstheme="minorHAnsi"/>
                <w:sz w:val="24"/>
              </w:rPr>
            </w:pPr>
          </w:p>
        </w:tc>
      </w:tr>
      <w:tr w:rsidR="004E70AF" w:rsidRPr="00093DC8" w14:paraId="3B5DBDA7" w14:textId="77777777" w:rsidTr="00166715">
        <w:trPr>
          <w:gridAfter w:val="1"/>
          <w:wAfter w:w="90" w:type="dxa"/>
          <w:cantSplit/>
          <w:trHeight w:val="476"/>
        </w:trPr>
        <w:tc>
          <w:tcPr>
            <w:tcW w:w="9468" w:type="dxa"/>
            <w:gridSpan w:val="2"/>
            <w:shd w:val="clear" w:color="auto" w:fill="31849B" w:themeFill="accent5" w:themeFillShade="BF"/>
            <w:vAlign w:val="center"/>
          </w:tcPr>
          <w:p w14:paraId="513A0EFC" w14:textId="2DEF281F" w:rsidR="004E70AF" w:rsidRPr="004E70AF" w:rsidRDefault="00D8625D" w:rsidP="00C87458">
            <w:pPr>
              <w:rPr>
                <w:rFonts w:cstheme="minorHAnsi"/>
                <w:b/>
                <w:bCs/>
                <w:sz w:val="24"/>
              </w:rPr>
            </w:pPr>
            <w:r>
              <w:rPr>
                <w:rFonts w:cstheme="minorHAnsi"/>
                <w:b/>
                <w:bCs/>
                <w:color w:val="FFFFFF" w:themeColor="background1"/>
                <w:sz w:val="24"/>
              </w:rPr>
              <w:t xml:space="preserve">Assessing </w:t>
            </w:r>
            <w:r w:rsidR="002D232E">
              <w:rPr>
                <w:rFonts w:cstheme="minorHAnsi"/>
                <w:b/>
                <w:bCs/>
                <w:color w:val="FFFFFF" w:themeColor="background1"/>
                <w:sz w:val="24"/>
              </w:rPr>
              <w:t>Community Health</w:t>
            </w:r>
            <w:r w:rsidR="00854666">
              <w:rPr>
                <w:rFonts w:cstheme="minorHAnsi"/>
                <w:b/>
                <w:bCs/>
                <w:color w:val="FFFFFF" w:themeColor="background1"/>
                <w:sz w:val="24"/>
              </w:rPr>
              <w:t>,</w:t>
            </w:r>
            <w:r w:rsidR="002D232E">
              <w:rPr>
                <w:rFonts w:cstheme="minorHAnsi"/>
                <w:b/>
                <w:bCs/>
                <w:color w:val="FFFFFF" w:themeColor="background1"/>
                <w:sz w:val="24"/>
              </w:rPr>
              <w:t xml:space="preserve"> Wellness</w:t>
            </w:r>
            <w:r w:rsidR="009E2396">
              <w:rPr>
                <w:rFonts w:cstheme="minorHAnsi"/>
                <w:b/>
                <w:bCs/>
                <w:color w:val="FFFFFF" w:themeColor="background1"/>
                <w:sz w:val="24"/>
              </w:rPr>
              <w:t>, and Walkability</w:t>
            </w:r>
          </w:p>
        </w:tc>
      </w:tr>
      <w:tr w:rsidR="004E70AF" w:rsidRPr="00093DC8" w14:paraId="71DB89D6" w14:textId="77777777" w:rsidTr="00166715">
        <w:trPr>
          <w:gridAfter w:val="1"/>
          <w:wAfter w:w="90" w:type="dxa"/>
          <w:cantSplit/>
          <w:trHeight w:val="1158"/>
        </w:trPr>
        <w:tc>
          <w:tcPr>
            <w:tcW w:w="9468" w:type="dxa"/>
            <w:gridSpan w:val="2"/>
            <w:shd w:val="clear" w:color="auto" w:fill="FFFFFF" w:themeFill="background1"/>
            <w:vAlign w:val="center"/>
          </w:tcPr>
          <w:p w14:paraId="7294BD70" w14:textId="77777777" w:rsidR="009E2396" w:rsidRPr="003331D8" w:rsidRDefault="009E2396" w:rsidP="009E2396">
            <w:pPr>
              <w:widowControl w:val="0"/>
              <w:contextualSpacing/>
              <w:rPr>
                <w:b/>
                <w:bCs/>
              </w:rPr>
            </w:pPr>
            <w:r>
              <w:t xml:space="preserve">America Walks encourages libraries to conduct a </w:t>
            </w:r>
            <w:hyperlink r:id="rId9" w:history="1">
              <w:r w:rsidRPr="00854666">
                <w:rPr>
                  <w:rStyle w:val="Hyperlink"/>
                </w:rPr>
                <w:t>Walk Audit</w:t>
              </w:r>
            </w:hyperlink>
            <w:r>
              <w:t xml:space="preserve"> to </w:t>
            </w:r>
            <w:r w:rsidRPr="00854666">
              <w:t>assess pedestrian safety, accessibility, and comfort of communities.</w:t>
            </w:r>
            <w:r>
              <w:t xml:space="preserve"> </w:t>
            </w:r>
            <w:r w:rsidRPr="003331D8">
              <w:rPr>
                <w:b/>
                <w:bCs/>
              </w:rPr>
              <w:t xml:space="preserve">Use the audit to assess potential activity-friendly spaces that could be used to expand library services and programming. </w:t>
            </w:r>
          </w:p>
          <w:p w14:paraId="530CA89F" w14:textId="77777777" w:rsidR="009E2396" w:rsidRDefault="009E2396" w:rsidP="002D232E">
            <w:pPr>
              <w:widowControl w:val="0"/>
              <w:contextualSpacing/>
              <w:rPr>
                <w:rFonts w:eastAsia="Times New Roman"/>
              </w:rPr>
            </w:pPr>
          </w:p>
          <w:p w14:paraId="7F600039" w14:textId="0E7997F9" w:rsidR="002D232E" w:rsidRPr="00517F0F" w:rsidRDefault="009E2396" w:rsidP="002D232E">
            <w:pPr>
              <w:widowControl w:val="0"/>
              <w:contextualSpacing/>
            </w:pPr>
            <w:r>
              <w:rPr>
                <w:rFonts w:eastAsia="Times New Roman"/>
              </w:rPr>
              <w:t>It’s also important</w:t>
            </w:r>
            <w:r w:rsidR="00517F0F" w:rsidRPr="00517F0F">
              <w:rPr>
                <w:rFonts w:eastAsia="Times New Roman"/>
              </w:rPr>
              <w:t xml:space="preserve"> </w:t>
            </w:r>
            <w:r w:rsidR="002D232E" w:rsidRPr="00517F0F">
              <w:rPr>
                <w:rFonts w:eastAsia="Times New Roman"/>
              </w:rPr>
              <w:t xml:space="preserve">to </w:t>
            </w:r>
            <w:r w:rsidR="002D232E" w:rsidRPr="003331D8">
              <w:rPr>
                <w:rFonts w:eastAsia="Times New Roman"/>
                <w:b/>
                <w:bCs/>
              </w:rPr>
              <w:t>understand who comprises your community</w:t>
            </w:r>
            <w:r w:rsidR="002D232E" w:rsidRPr="00517F0F">
              <w:rPr>
                <w:rFonts w:eastAsia="Times New Roman"/>
              </w:rPr>
              <w:t xml:space="preserve"> and what their health </w:t>
            </w:r>
            <w:r w:rsidR="0054560E">
              <w:rPr>
                <w:rFonts w:eastAsia="Times New Roman"/>
              </w:rPr>
              <w:t xml:space="preserve">and health literacy </w:t>
            </w:r>
            <w:r w:rsidR="002D232E" w:rsidRPr="00517F0F">
              <w:rPr>
                <w:rFonts w:eastAsia="Times New Roman"/>
              </w:rPr>
              <w:t>needs are.</w:t>
            </w:r>
            <w:r w:rsidR="002D232E" w:rsidRPr="00517F0F">
              <w:t xml:space="preserve"> </w:t>
            </w:r>
            <w:r w:rsidR="00517F0F" w:rsidRPr="00517F0F">
              <w:rPr>
                <w:rFonts w:eastAsia="Times New Roman"/>
              </w:rPr>
              <w:t>Using demographic data and other resources, consider the following questions.</w:t>
            </w:r>
          </w:p>
          <w:p w14:paraId="03E520BE" w14:textId="77777777" w:rsidR="002D232E" w:rsidRPr="00517F0F" w:rsidRDefault="002D232E" w:rsidP="002D232E">
            <w:pPr>
              <w:widowControl w:val="0"/>
              <w:contextualSpacing/>
            </w:pPr>
          </w:p>
          <w:p w14:paraId="4012D113" w14:textId="5D7E366B" w:rsidR="002D232E" w:rsidRPr="00517F0F" w:rsidRDefault="002D232E" w:rsidP="002D232E">
            <w:pPr>
              <w:widowControl w:val="0"/>
              <w:contextualSpacing/>
            </w:pPr>
            <w:r w:rsidRPr="00517F0F">
              <w:t xml:space="preserve">What health/wellness needs exist in your community? </w:t>
            </w:r>
            <w:r w:rsidR="0054560E">
              <w:t>How do transportation barriers compound these needs? Do people feel safe walking, bicycling, or using public transportation in your community?</w:t>
            </w:r>
          </w:p>
          <w:p w14:paraId="5C61F934" w14:textId="77777777" w:rsidR="002D232E" w:rsidRPr="00517F0F" w:rsidRDefault="002D232E" w:rsidP="002D232E">
            <w:pPr>
              <w:widowControl w:val="0"/>
              <w:contextualSpacing/>
            </w:pPr>
          </w:p>
          <w:p w14:paraId="5DE37715" w14:textId="77777777" w:rsidR="002D232E" w:rsidRPr="00517F0F" w:rsidRDefault="002D232E" w:rsidP="002D232E">
            <w:pPr>
              <w:widowControl w:val="0"/>
              <w:contextualSpacing/>
            </w:pPr>
          </w:p>
          <w:p w14:paraId="439FCCB3" w14:textId="77777777" w:rsidR="002D232E" w:rsidRPr="00517F0F" w:rsidRDefault="002D232E" w:rsidP="002D232E">
            <w:pPr>
              <w:widowControl w:val="0"/>
              <w:contextualSpacing/>
            </w:pPr>
            <w:r w:rsidRPr="00517F0F">
              <w:t xml:space="preserve">How do you know this is the case? </w:t>
            </w:r>
          </w:p>
          <w:p w14:paraId="0741D22B" w14:textId="77777777" w:rsidR="002D232E" w:rsidRPr="00517F0F" w:rsidRDefault="002D232E" w:rsidP="002D232E">
            <w:pPr>
              <w:widowControl w:val="0"/>
              <w:contextualSpacing/>
            </w:pPr>
          </w:p>
          <w:p w14:paraId="3AE920D5" w14:textId="77777777" w:rsidR="002D232E" w:rsidRPr="00517F0F" w:rsidRDefault="002D232E" w:rsidP="002D232E">
            <w:pPr>
              <w:widowControl w:val="0"/>
              <w:contextualSpacing/>
            </w:pPr>
          </w:p>
          <w:p w14:paraId="5F8FD6E7" w14:textId="3AA74DAC" w:rsidR="002D232E" w:rsidRPr="00517F0F" w:rsidRDefault="002D232E" w:rsidP="002D232E">
            <w:pPr>
              <w:widowControl w:val="0"/>
              <w:contextualSpacing/>
            </w:pPr>
            <w:r w:rsidRPr="00517F0F">
              <w:t>Do you have data that supports this conclusion?</w:t>
            </w:r>
            <w:r w:rsidR="0054560E">
              <w:t xml:space="preserve"> Who could you reach out to get this data? </w:t>
            </w:r>
          </w:p>
          <w:p w14:paraId="26595AC1" w14:textId="6413EB95" w:rsidR="002D232E" w:rsidRDefault="002D232E" w:rsidP="002D232E">
            <w:pPr>
              <w:widowControl w:val="0"/>
              <w:contextualSpacing/>
            </w:pPr>
          </w:p>
          <w:p w14:paraId="46BFEF3C" w14:textId="77777777" w:rsidR="002D232E" w:rsidRPr="00517F0F" w:rsidRDefault="002D232E" w:rsidP="002D232E">
            <w:pPr>
              <w:widowControl w:val="0"/>
              <w:contextualSpacing/>
            </w:pPr>
          </w:p>
          <w:p w14:paraId="6175173E" w14:textId="77777777" w:rsidR="002D232E" w:rsidRPr="00517F0F" w:rsidRDefault="002D232E" w:rsidP="002D232E">
            <w:pPr>
              <w:widowControl w:val="0"/>
              <w:contextualSpacing/>
              <w:rPr>
                <w:rFonts w:eastAsia="Times New Roman"/>
              </w:rPr>
            </w:pPr>
            <w:r w:rsidRPr="00517F0F">
              <w:t xml:space="preserve">To explore these questions further, explore a guide created as part of WebJunction’s </w:t>
            </w:r>
            <w:hyperlink r:id="rId10" w:history="1">
              <w:r w:rsidRPr="00517F0F">
                <w:rPr>
                  <w:rStyle w:val="Hyperlink"/>
                </w:rPr>
                <w:t>Health Happens in Libraries</w:t>
              </w:r>
            </w:hyperlink>
            <w:r w:rsidRPr="00517F0F">
              <w:t xml:space="preserve"> project, </w:t>
            </w:r>
            <w:hyperlink r:id="rId11" w:history="1">
              <w:r w:rsidRPr="00517F0F">
                <w:rPr>
                  <w:rStyle w:val="Hyperlink"/>
                  <w:rFonts w:eastAsia="Times New Roman"/>
                </w:rPr>
                <w:t>Supporting Healthy Communities through Health Information and Services</w:t>
              </w:r>
            </w:hyperlink>
            <w:r w:rsidRPr="00517F0F">
              <w:rPr>
                <w:rFonts w:eastAsia="Times New Roman"/>
              </w:rPr>
              <w:t xml:space="preserve"> (pdf). </w:t>
            </w:r>
          </w:p>
          <w:p w14:paraId="3CF3D913" w14:textId="2768258B" w:rsidR="002D232E" w:rsidRPr="002D232E" w:rsidRDefault="002D232E" w:rsidP="002D232E">
            <w:pPr>
              <w:widowControl w:val="0"/>
              <w:contextualSpacing/>
            </w:pPr>
          </w:p>
        </w:tc>
      </w:tr>
      <w:tr w:rsidR="00D05126" w:rsidRPr="00093DC8" w14:paraId="731D36C4" w14:textId="77777777" w:rsidTr="00166715">
        <w:trPr>
          <w:trHeight w:val="530"/>
        </w:trPr>
        <w:tc>
          <w:tcPr>
            <w:tcW w:w="9558" w:type="dxa"/>
            <w:gridSpan w:val="3"/>
            <w:shd w:val="clear" w:color="auto" w:fill="31849B" w:themeFill="accent5" w:themeFillShade="BF"/>
            <w:vAlign w:val="center"/>
          </w:tcPr>
          <w:p w14:paraId="5F9BB28A" w14:textId="3552B664" w:rsidR="00D05126" w:rsidRPr="004F5866" w:rsidRDefault="0054560E" w:rsidP="00C87458">
            <w:r>
              <w:rPr>
                <w:rFonts w:ascii="Calibri" w:eastAsia="Calibri" w:hAnsi="Calibri" w:cs="Calibri"/>
                <w:b/>
                <w:color w:val="FFFFFF"/>
              </w:rPr>
              <w:lastRenderedPageBreak/>
              <w:t>Where to start?</w:t>
            </w:r>
          </w:p>
        </w:tc>
      </w:tr>
      <w:tr w:rsidR="00D05126" w:rsidRPr="00093DC8" w14:paraId="141E8A2F" w14:textId="77777777" w:rsidTr="00166715">
        <w:trPr>
          <w:trHeight w:val="638"/>
        </w:trPr>
        <w:tc>
          <w:tcPr>
            <w:tcW w:w="9558" w:type="dxa"/>
            <w:gridSpan w:val="3"/>
            <w:shd w:val="clear" w:color="auto" w:fill="auto"/>
            <w:vAlign w:val="center"/>
          </w:tcPr>
          <w:p w14:paraId="70DBC0C1" w14:textId="1F37531D" w:rsidR="004F5866" w:rsidRDefault="004F5866" w:rsidP="00850774">
            <w:r w:rsidRPr="00850774">
              <w:rPr>
                <w:rFonts w:ascii="Calibri" w:hAnsi="Calibri"/>
              </w:rPr>
              <w:t xml:space="preserve">There are </w:t>
            </w:r>
            <w:r w:rsidR="00517F0F" w:rsidRPr="00850774">
              <w:rPr>
                <w:rFonts w:ascii="Calibri" w:hAnsi="Calibri"/>
              </w:rPr>
              <w:t>many</w:t>
            </w:r>
            <w:r w:rsidRPr="00850774">
              <w:rPr>
                <w:rFonts w:ascii="Calibri" w:hAnsi="Calibri"/>
              </w:rPr>
              <w:t xml:space="preserve"> examples of </w:t>
            </w:r>
            <w:r w:rsidR="00517F0F" w:rsidRPr="00850774">
              <w:rPr>
                <w:rFonts w:ascii="Calibri" w:hAnsi="Calibri"/>
              </w:rPr>
              <w:t xml:space="preserve">library </w:t>
            </w:r>
            <w:r w:rsidRPr="00850774">
              <w:rPr>
                <w:rFonts w:ascii="Calibri" w:hAnsi="Calibri"/>
              </w:rPr>
              <w:t>program</w:t>
            </w:r>
            <w:r w:rsidR="00517F0F" w:rsidRPr="00850774">
              <w:rPr>
                <w:rFonts w:ascii="Calibri" w:hAnsi="Calibri"/>
              </w:rPr>
              <w:t>s and services</w:t>
            </w:r>
            <w:r w:rsidR="00087249">
              <w:rPr>
                <w:rFonts w:ascii="Calibri" w:hAnsi="Calibri"/>
              </w:rPr>
              <w:t xml:space="preserve"> focused on transforming outdoor spaces to make them more walkable and amenable to a variety of uses (not just for cars!)</w:t>
            </w:r>
            <w:r w:rsidR="00517F0F" w:rsidRPr="00850774">
              <w:rPr>
                <w:rFonts w:ascii="Calibri" w:hAnsi="Calibri"/>
              </w:rPr>
              <w:t>. Consider the</w:t>
            </w:r>
            <w:r w:rsidR="00B86213" w:rsidRPr="00850774">
              <w:rPr>
                <w:rFonts w:ascii="Calibri" w:hAnsi="Calibri"/>
              </w:rPr>
              <w:t xml:space="preserve"> wealth of</w:t>
            </w:r>
            <w:r w:rsidR="00517F0F" w:rsidRPr="00850774">
              <w:rPr>
                <w:rFonts w:ascii="Calibri" w:hAnsi="Calibri"/>
              </w:rPr>
              <w:t xml:space="preserve"> examples shared in the webinar, </w:t>
            </w:r>
            <w:r w:rsidR="006D0C0A">
              <w:rPr>
                <w:rFonts w:ascii="Calibri" w:hAnsi="Calibri"/>
              </w:rPr>
              <w:t xml:space="preserve">which showcase </w:t>
            </w:r>
            <w:r w:rsidR="006D0C0A" w:rsidRPr="003331D8">
              <w:rPr>
                <w:rFonts w:ascii="Calibri" w:hAnsi="Calibri"/>
                <w:b/>
                <w:bCs/>
              </w:rPr>
              <w:t>how public libraries create</w:t>
            </w:r>
            <w:r w:rsidR="00850774" w:rsidRPr="003331D8">
              <w:rPr>
                <w:b/>
                <w:bCs/>
              </w:rPr>
              <w:t xml:space="preserve"> fun, outdoor activities</w:t>
            </w:r>
            <w:r w:rsidR="006D0C0A" w:rsidRPr="003331D8">
              <w:rPr>
                <w:b/>
                <w:bCs/>
              </w:rPr>
              <w:t xml:space="preserve"> and spaces</w:t>
            </w:r>
            <w:r w:rsidR="00850774" w:rsidRPr="003331D8">
              <w:rPr>
                <w:b/>
                <w:bCs/>
              </w:rPr>
              <w:t xml:space="preserve"> that combine reading, learning, and walking</w:t>
            </w:r>
            <w:r w:rsidR="00850774" w:rsidRPr="00850774">
              <w:t>.</w:t>
            </w:r>
          </w:p>
          <w:p w14:paraId="7008F429" w14:textId="77777777" w:rsidR="00850774" w:rsidRPr="00850774" w:rsidRDefault="00850774" w:rsidP="00850774"/>
          <w:p w14:paraId="64E748E4" w14:textId="3AB9E88E" w:rsidR="00850774" w:rsidRPr="00850774" w:rsidRDefault="00087249" w:rsidP="004F5866">
            <w:pPr>
              <w:pStyle w:val="NoSpacing"/>
              <w:rPr>
                <w:rFonts w:ascii="Calibri" w:hAnsi="Calibri"/>
                <w:sz w:val="22"/>
                <w:szCs w:val="22"/>
              </w:rPr>
            </w:pPr>
            <w:r w:rsidRPr="00087249">
              <w:rPr>
                <w:rFonts w:ascii="Calibri" w:hAnsi="Calibri"/>
                <w:sz w:val="22"/>
                <w:szCs w:val="22"/>
              </w:rPr>
              <w:t>Which examples are most intriguing to you? Why do you think this might be a good fit for your community?</w:t>
            </w:r>
          </w:p>
          <w:p w14:paraId="7E8E3682" w14:textId="77777777" w:rsidR="004F5866" w:rsidRPr="00850774" w:rsidRDefault="004F5866" w:rsidP="004F5866">
            <w:pPr>
              <w:ind w:left="720"/>
              <w:rPr>
                <w:rFonts w:ascii="Calibri" w:hAnsi="Calibri"/>
              </w:rPr>
            </w:pPr>
            <w:r w:rsidRPr="00850774">
              <w:rPr>
                <w:rFonts w:ascii="Calibri" w:hAnsi="Calibri"/>
              </w:rPr>
              <w:t>1.</w:t>
            </w:r>
          </w:p>
          <w:p w14:paraId="30CE0C8B" w14:textId="77777777" w:rsidR="004F5866" w:rsidRPr="00850774" w:rsidRDefault="004F5866" w:rsidP="004F5866">
            <w:pPr>
              <w:ind w:left="720"/>
              <w:rPr>
                <w:rFonts w:ascii="Calibri" w:hAnsi="Calibri"/>
              </w:rPr>
            </w:pPr>
          </w:p>
          <w:p w14:paraId="6BC3F8F3" w14:textId="77777777" w:rsidR="004F5866" w:rsidRPr="00850774" w:rsidRDefault="004F5866" w:rsidP="004F5866">
            <w:pPr>
              <w:ind w:left="720"/>
              <w:rPr>
                <w:rFonts w:ascii="Calibri" w:hAnsi="Calibri"/>
              </w:rPr>
            </w:pPr>
          </w:p>
          <w:p w14:paraId="583274EB" w14:textId="6A76C22C" w:rsidR="004F5866" w:rsidRDefault="004F5866" w:rsidP="004F5866">
            <w:pPr>
              <w:ind w:left="720"/>
              <w:rPr>
                <w:rFonts w:ascii="Calibri" w:hAnsi="Calibri"/>
              </w:rPr>
            </w:pPr>
            <w:r w:rsidRPr="00850774">
              <w:rPr>
                <w:rFonts w:ascii="Calibri" w:hAnsi="Calibri"/>
              </w:rPr>
              <w:t>2.</w:t>
            </w:r>
          </w:p>
          <w:p w14:paraId="69040659" w14:textId="5A74618B" w:rsidR="006D0C0A" w:rsidRDefault="006D0C0A" w:rsidP="004F5866">
            <w:pPr>
              <w:ind w:left="720"/>
              <w:rPr>
                <w:rFonts w:ascii="Calibri" w:hAnsi="Calibri"/>
              </w:rPr>
            </w:pPr>
          </w:p>
          <w:p w14:paraId="3DCEE9D6" w14:textId="1E8559FC" w:rsidR="006D0C0A" w:rsidRDefault="006D0C0A" w:rsidP="00080308">
            <w:pPr>
              <w:rPr>
                <w:rFonts w:ascii="Calibri" w:hAnsi="Calibri"/>
              </w:rPr>
            </w:pPr>
            <w:proofErr w:type="gramStart"/>
            <w:r w:rsidRPr="0061752F">
              <w:rPr>
                <w:rFonts w:eastAsia="Times New Roman" w:cs="Times New Roman"/>
                <w:color w:val="000000"/>
              </w:rPr>
              <w:t>Take a look</w:t>
            </w:r>
            <w:proofErr w:type="gramEnd"/>
            <w:r w:rsidRPr="0061752F">
              <w:rPr>
                <w:rFonts w:eastAsia="Times New Roman" w:cs="Times New Roman"/>
                <w:color w:val="000000"/>
              </w:rPr>
              <w:t xml:space="preserve"> at the</w:t>
            </w:r>
            <w:r>
              <w:rPr>
                <w:rFonts w:eastAsia="Times New Roman" w:cs="Times New Roman"/>
                <w:color w:val="000000"/>
              </w:rPr>
              <w:t xml:space="preserve"> following resources for even more inspiration and ideas!</w:t>
            </w:r>
          </w:p>
          <w:p w14:paraId="6180CAA1" w14:textId="24EA6A1E" w:rsidR="006D0C0A" w:rsidRDefault="006D0C0A" w:rsidP="004F5866">
            <w:pPr>
              <w:ind w:left="720"/>
              <w:rPr>
                <w:rFonts w:ascii="Calibri" w:hAnsi="Calibri"/>
              </w:rPr>
            </w:pPr>
          </w:p>
          <w:p w14:paraId="21492AB6" w14:textId="77777777" w:rsidR="006D0C0A" w:rsidRPr="00D055DE" w:rsidRDefault="00525682" w:rsidP="006D0C0A">
            <w:pPr>
              <w:pStyle w:val="ListParagraph"/>
              <w:numPr>
                <w:ilvl w:val="0"/>
                <w:numId w:val="32"/>
              </w:numPr>
              <w:spacing w:after="160"/>
              <w:contextualSpacing/>
              <w:rPr>
                <w:rStyle w:val="Hyperlink"/>
                <w:color w:val="auto"/>
                <w:u w:val="none"/>
              </w:rPr>
            </w:pPr>
            <w:hyperlink r:id="rId12" w:history="1">
              <w:r w:rsidR="006D0C0A" w:rsidRPr="00850774">
                <w:rPr>
                  <w:rStyle w:val="Hyperlink"/>
                </w:rPr>
                <w:t>Let’s Move in Libraries Program Ideas</w:t>
              </w:r>
            </w:hyperlink>
          </w:p>
          <w:p w14:paraId="0EF84E8E" w14:textId="77777777" w:rsidR="006D0C0A" w:rsidRPr="00850774" w:rsidRDefault="00525682" w:rsidP="006D0C0A">
            <w:pPr>
              <w:pStyle w:val="ListParagraph"/>
              <w:numPr>
                <w:ilvl w:val="0"/>
                <w:numId w:val="32"/>
              </w:numPr>
              <w:spacing w:after="160"/>
              <w:contextualSpacing/>
            </w:pPr>
            <w:hyperlink r:id="rId13" w:history="1">
              <w:r w:rsidR="006D0C0A" w:rsidRPr="00087249">
                <w:rPr>
                  <w:rStyle w:val="Hyperlink"/>
                </w:rPr>
                <w:t>Libraries Employ Low-Tech Programming to Engage Children and Families</w:t>
              </w:r>
            </w:hyperlink>
          </w:p>
          <w:p w14:paraId="66EA472B" w14:textId="77777777" w:rsidR="006D0C0A" w:rsidRPr="00D055DE" w:rsidRDefault="00525682" w:rsidP="006D0C0A">
            <w:pPr>
              <w:pStyle w:val="ListParagraph"/>
              <w:numPr>
                <w:ilvl w:val="0"/>
                <w:numId w:val="32"/>
              </w:numPr>
              <w:spacing w:after="160"/>
              <w:contextualSpacing/>
              <w:rPr>
                <w:color w:val="0000FF" w:themeColor="hyperlink"/>
                <w:u w:val="single"/>
              </w:rPr>
            </w:pPr>
            <w:hyperlink r:id="rId14" w:history="1">
              <w:r w:rsidR="006D0C0A" w:rsidRPr="00850774">
                <w:rPr>
                  <w:rStyle w:val="Hyperlink"/>
                </w:rPr>
                <w:t>Programming Librarian – Health and Wellness</w:t>
              </w:r>
            </w:hyperlink>
            <w:r w:rsidR="006D0C0A" w:rsidRPr="00850774">
              <w:t xml:space="preserve"> including Noah’s </w:t>
            </w:r>
            <w:hyperlink r:id="rId15" w:history="1">
              <w:r w:rsidR="006D0C0A" w:rsidRPr="00850774">
                <w:rPr>
                  <w:rStyle w:val="Hyperlink"/>
                </w:rPr>
                <w:t>9 Ways To Take a Walk with the Library</w:t>
              </w:r>
            </w:hyperlink>
            <w:r w:rsidR="006D0C0A" w:rsidRPr="00850774">
              <w:t xml:space="preserve"> </w:t>
            </w:r>
          </w:p>
          <w:p w14:paraId="44B9358E" w14:textId="77777777" w:rsidR="006D0C0A" w:rsidRDefault="00525682" w:rsidP="006D0C0A">
            <w:pPr>
              <w:pStyle w:val="ListParagraph"/>
              <w:numPr>
                <w:ilvl w:val="0"/>
                <w:numId w:val="32"/>
              </w:numPr>
              <w:spacing w:after="160"/>
              <w:contextualSpacing/>
              <w:rPr>
                <w:color w:val="0000FF" w:themeColor="hyperlink"/>
                <w:u w:val="single"/>
              </w:rPr>
            </w:pPr>
            <w:hyperlink r:id="rId16" w:history="1">
              <w:r w:rsidR="006D0C0A" w:rsidRPr="00087249">
                <w:rPr>
                  <w:rStyle w:val="Hyperlink"/>
                </w:rPr>
                <w:t>Safe Routes to School’s Encouragement Guide</w:t>
              </w:r>
            </w:hyperlink>
          </w:p>
          <w:p w14:paraId="104868DF" w14:textId="77777777" w:rsidR="006D0C0A" w:rsidRPr="00087249" w:rsidRDefault="006D0C0A" w:rsidP="006D0C0A">
            <w:pPr>
              <w:pStyle w:val="ListParagraph"/>
              <w:numPr>
                <w:ilvl w:val="0"/>
                <w:numId w:val="32"/>
              </w:numPr>
              <w:spacing w:after="160"/>
              <w:contextualSpacing/>
              <w:rPr>
                <w:rStyle w:val="Hyperlink"/>
              </w:rPr>
            </w:pPr>
            <w:r>
              <w:rPr>
                <w:color w:val="0000FF" w:themeColor="hyperlink"/>
                <w:u w:val="single"/>
              </w:rPr>
              <w:fldChar w:fldCharType="begin"/>
            </w:r>
            <w:r>
              <w:rPr>
                <w:color w:val="0000FF" w:themeColor="hyperlink"/>
                <w:u w:val="single"/>
              </w:rPr>
              <w:instrText xml:space="preserve"> HYPERLINK "https://www.cdc.gov/physicalactivity/community-strategies/beactive/implementation-resource-guide.html" </w:instrText>
            </w:r>
            <w:r>
              <w:rPr>
                <w:color w:val="0000FF" w:themeColor="hyperlink"/>
                <w:u w:val="single"/>
              </w:rPr>
              <w:fldChar w:fldCharType="separate"/>
            </w:r>
            <w:r w:rsidRPr="00087249">
              <w:rPr>
                <w:rStyle w:val="Hyperlink"/>
              </w:rPr>
              <w:t>CDC’s Implementation Resource Guide for Community Preventive Services Task Force’s Built</w:t>
            </w:r>
          </w:p>
          <w:p w14:paraId="44EBF626" w14:textId="77777777" w:rsidR="006D0C0A" w:rsidRDefault="006D0C0A" w:rsidP="006D0C0A">
            <w:pPr>
              <w:pStyle w:val="ListParagraph"/>
              <w:spacing w:after="160"/>
              <w:contextualSpacing/>
              <w:rPr>
                <w:color w:val="0000FF" w:themeColor="hyperlink"/>
                <w:u w:val="single"/>
              </w:rPr>
            </w:pPr>
            <w:r w:rsidRPr="00087249">
              <w:rPr>
                <w:rStyle w:val="Hyperlink"/>
              </w:rPr>
              <w:t>Environment Recommendation to Increase Physical Activity</w:t>
            </w:r>
            <w:r>
              <w:rPr>
                <w:color w:val="0000FF" w:themeColor="hyperlink"/>
                <w:u w:val="single"/>
              </w:rPr>
              <w:fldChar w:fldCharType="end"/>
            </w:r>
          </w:p>
          <w:p w14:paraId="2B4EE00E" w14:textId="77777777" w:rsidR="006D0C0A" w:rsidRPr="00D055DE" w:rsidRDefault="00525682" w:rsidP="006D0C0A">
            <w:pPr>
              <w:pStyle w:val="ListParagraph"/>
              <w:numPr>
                <w:ilvl w:val="0"/>
                <w:numId w:val="34"/>
              </w:numPr>
              <w:spacing w:after="160"/>
              <w:contextualSpacing/>
              <w:rPr>
                <w:color w:val="0000FF" w:themeColor="hyperlink"/>
                <w:u w:val="single"/>
              </w:rPr>
            </w:pPr>
            <w:hyperlink r:id="rId17" w:history="1">
              <w:r w:rsidR="006D0C0A" w:rsidRPr="00D055DE">
                <w:rPr>
                  <w:rStyle w:val="Hyperlink"/>
                </w:rPr>
                <w:t>Project for Public Spaces – The Placemaking Process</w:t>
              </w:r>
            </w:hyperlink>
          </w:p>
          <w:p w14:paraId="0BF6412C" w14:textId="77777777" w:rsidR="006D0C0A" w:rsidRDefault="00525682" w:rsidP="006D0C0A">
            <w:pPr>
              <w:pStyle w:val="ListParagraph"/>
              <w:numPr>
                <w:ilvl w:val="0"/>
                <w:numId w:val="32"/>
              </w:numPr>
              <w:spacing w:after="160"/>
              <w:contextualSpacing/>
              <w:rPr>
                <w:rStyle w:val="Hyperlink"/>
              </w:rPr>
            </w:pPr>
            <w:hyperlink r:id="rId18" w:history="1">
              <w:r w:rsidR="006D0C0A" w:rsidRPr="00850774">
                <w:rPr>
                  <w:rStyle w:val="Hyperlink"/>
                </w:rPr>
                <w:t>Health Happens in Libraries – Library Profiles</w:t>
              </w:r>
            </w:hyperlink>
          </w:p>
          <w:p w14:paraId="4FF5BC64" w14:textId="4B6CFD85" w:rsidR="006D0C0A" w:rsidRPr="00080308" w:rsidRDefault="00525682" w:rsidP="00080308">
            <w:pPr>
              <w:pStyle w:val="ListParagraph"/>
              <w:numPr>
                <w:ilvl w:val="0"/>
                <w:numId w:val="32"/>
              </w:numPr>
              <w:spacing w:after="160"/>
              <w:contextualSpacing/>
              <w:rPr>
                <w:color w:val="0000FF" w:themeColor="hyperlink"/>
                <w:u w:val="single"/>
              </w:rPr>
            </w:pPr>
            <w:hyperlink r:id="rId19" w:history="1">
              <w:r w:rsidR="006D0C0A" w:rsidRPr="0054560E">
                <w:rPr>
                  <w:rStyle w:val="Hyperlink"/>
                </w:rPr>
                <w:t>WebJunction’s Small Libraries Create Smart Spaces Transformation Story (Wilton NH)</w:t>
              </w:r>
            </w:hyperlink>
          </w:p>
          <w:p w14:paraId="7D071787" w14:textId="3DD6FB05" w:rsidR="004B17F0" w:rsidRPr="00850774" w:rsidRDefault="004B17F0" w:rsidP="004B17F0"/>
        </w:tc>
      </w:tr>
      <w:tr w:rsidR="00166715" w:rsidRPr="00093DC8" w14:paraId="329129F8" w14:textId="77777777" w:rsidTr="00BA2C17">
        <w:trPr>
          <w:trHeight w:val="539"/>
        </w:trPr>
        <w:tc>
          <w:tcPr>
            <w:tcW w:w="9558" w:type="dxa"/>
            <w:gridSpan w:val="3"/>
            <w:shd w:val="clear" w:color="auto" w:fill="31849B" w:themeFill="accent5" w:themeFillShade="BF"/>
            <w:vAlign w:val="center"/>
          </w:tcPr>
          <w:p w14:paraId="72AB5963" w14:textId="32BD67E0" w:rsidR="00166715" w:rsidRPr="004F5866" w:rsidRDefault="00B86213" w:rsidP="004F5866">
            <w:pPr>
              <w:widowControl w:val="0"/>
              <w:rPr>
                <w:rFonts w:ascii="Calibri" w:eastAsia="Calibri" w:hAnsi="Calibri" w:cs="Calibri"/>
                <w:b/>
                <w:color w:val="FFFFFF" w:themeColor="background1"/>
              </w:rPr>
            </w:pPr>
            <w:r>
              <w:rPr>
                <w:rFonts w:ascii="Calibri" w:eastAsia="Calibri" w:hAnsi="Calibri" w:cs="Calibri"/>
                <w:b/>
                <w:color w:val="FFFFFF"/>
              </w:rPr>
              <w:t>Partnering for Healthy Communities</w:t>
            </w:r>
          </w:p>
        </w:tc>
      </w:tr>
      <w:tr w:rsidR="00B86213" w:rsidRPr="00093DC8" w14:paraId="02832D77" w14:textId="77777777" w:rsidTr="00B86213">
        <w:trPr>
          <w:trHeight w:val="539"/>
        </w:trPr>
        <w:tc>
          <w:tcPr>
            <w:tcW w:w="9558" w:type="dxa"/>
            <w:gridSpan w:val="3"/>
            <w:shd w:val="clear" w:color="auto" w:fill="FFFFFF" w:themeFill="background1"/>
            <w:vAlign w:val="center"/>
          </w:tcPr>
          <w:p w14:paraId="13DF0294" w14:textId="6478A068" w:rsidR="006D0C0A" w:rsidRPr="00080308" w:rsidRDefault="006D0C0A" w:rsidP="00B86213">
            <w:pPr>
              <w:rPr>
                <w:rFonts w:eastAsia="Times New Roman" w:cs="Arial"/>
                <w:color w:val="000000"/>
              </w:rPr>
            </w:pPr>
            <w:r>
              <w:rPr>
                <w:rFonts w:eastAsia="Times New Roman" w:cs="Arial"/>
                <w:color w:val="000000"/>
              </w:rPr>
              <w:t xml:space="preserve">List </w:t>
            </w:r>
            <w:r w:rsidRPr="003331D8">
              <w:rPr>
                <w:rFonts w:eastAsia="Times New Roman" w:cs="Arial"/>
                <w:b/>
                <w:bCs/>
                <w:color w:val="000000"/>
              </w:rPr>
              <w:t xml:space="preserve">potential community partners </w:t>
            </w:r>
            <w:r w:rsidRPr="00FB2C2B">
              <w:rPr>
                <w:rFonts w:eastAsia="Times New Roman" w:cs="Arial"/>
                <w:color w:val="000000"/>
              </w:rPr>
              <w:t xml:space="preserve">you could ask to help </w:t>
            </w:r>
            <w:r>
              <w:rPr>
                <w:rFonts w:eastAsia="Times New Roman" w:cs="Arial"/>
                <w:color w:val="000000"/>
              </w:rPr>
              <w:t xml:space="preserve">you transform outdoor spaces around your library and in your community </w:t>
            </w:r>
            <w:r w:rsidRPr="00FB2C2B">
              <w:rPr>
                <w:rFonts w:eastAsia="Times New Roman" w:cs="Arial"/>
                <w:color w:val="000000"/>
              </w:rPr>
              <w:t xml:space="preserve">(e.g. </w:t>
            </w:r>
            <w:r>
              <w:rPr>
                <w:rFonts w:eastAsia="Times New Roman" w:cs="Arial"/>
                <w:color w:val="000000"/>
              </w:rPr>
              <w:t xml:space="preserve">town government, </w:t>
            </w:r>
            <w:r w:rsidR="0015019E">
              <w:rPr>
                <w:rFonts w:eastAsia="Times New Roman" w:cs="Arial"/>
                <w:color w:val="000000"/>
              </w:rPr>
              <w:t xml:space="preserve">scouting groups, parks and </w:t>
            </w:r>
            <w:r w:rsidR="00080308">
              <w:rPr>
                <w:rFonts w:eastAsia="Times New Roman" w:cs="Arial"/>
                <w:color w:val="000000"/>
              </w:rPr>
              <w:t>recreation, cooperative</w:t>
            </w:r>
            <w:r w:rsidR="0015019E">
              <w:rPr>
                <w:rFonts w:eastAsia="Times New Roman" w:cs="Arial"/>
                <w:color w:val="000000"/>
              </w:rPr>
              <w:t xml:space="preserve"> extension’s master gardeners, transportation departments, urban planners, etc.</w:t>
            </w:r>
            <w:r w:rsidRPr="00FB2C2B">
              <w:rPr>
                <w:rFonts w:eastAsia="Times New Roman" w:cs="Arial"/>
                <w:color w:val="000000"/>
              </w:rPr>
              <w:t>)</w:t>
            </w:r>
            <w:r>
              <w:rPr>
                <w:rFonts w:eastAsia="Times New Roman" w:cs="Arial"/>
                <w:color w:val="000000"/>
              </w:rPr>
              <w:t>.</w:t>
            </w:r>
          </w:p>
          <w:p w14:paraId="60B35BC6" w14:textId="77777777" w:rsidR="00B86213" w:rsidRDefault="00B86213" w:rsidP="00B86213">
            <w:pPr>
              <w:rPr>
                <w:rFonts w:ascii="Calibri" w:hAnsi="Calibri"/>
                <w:b/>
                <w:sz w:val="20"/>
              </w:rPr>
            </w:pPr>
          </w:p>
          <w:p w14:paraId="05B8171B" w14:textId="688797F3" w:rsidR="00B86213" w:rsidRDefault="00B86213" w:rsidP="00080308">
            <w:pPr>
              <w:ind w:left="720"/>
              <w:rPr>
                <w:rFonts w:ascii="Calibri" w:hAnsi="Calibri"/>
              </w:rPr>
            </w:pPr>
            <w:r>
              <w:rPr>
                <w:rFonts w:ascii="Calibri" w:hAnsi="Calibri"/>
              </w:rPr>
              <w:t>1.</w:t>
            </w:r>
          </w:p>
          <w:p w14:paraId="025B090E" w14:textId="77777777" w:rsidR="00B86213" w:rsidRDefault="00B86213" w:rsidP="00B86213">
            <w:pPr>
              <w:ind w:left="720"/>
              <w:rPr>
                <w:rFonts w:ascii="Calibri" w:hAnsi="Calibri"/>
              </w:rPr>
            </w:pPr>
          </w:p>
          <w:p w14:paraId="797711EF" w14:textId="5E243243" w:rsidR="00B86213" w:rsidRDefault="00B86213" w:rsidP="00B86213">
            <w:pPr>
              <w:ind w:left="720"/>
              <w:rPr>
                <w:rFonts w:ascii="Calibri" w:hAnsi="Calibri"/>
              </w:rPr>
            </w:pPr>
            <w:r>
              <w:rPr>
                <w:rFonts w:ascii="Calibri" w:hAnsi="Calibri"/>
              </w:rPr>
              <w:t>2.</w:t>
            </w:r>
          </w:p>
          <w:p w14:paraId="2A5C47DF" w14:textId="313E0AD5" w:rsidR="00080308" w:rsidRDefault="00080308" w:rsidP="00080308">
            <w:pPr>
              <w:rPr>
                <w:rFonts w:ascii="Calibri" w:hAnsi="Calibri"/>
              </w:rPr>
            </w:pPr>
          </w:p>
          <w:p w14:paraId="34325888" w14:textId="4DFA7FA9" w:rsidR="00080308" w:rsidRDefault="00080308" w:rsidP="00B86213">
            <w:pPr>
              <w:ind w:left="720"/>
              <w:rPr>
                <w:rFonts w:ascii="Calibri" w:hAnsi="Calibri"/>
              </w:rPr>
            </w:pPr>
            <w:r>
              <w:rPr>
                <w:rFonts w:ascii="Calibri" w:hAnsi="Calibri"/>
              </w:rPr>
              <w:t>3.</w:t>
            </w:r>
          </w:p>
          <w:p w14:paraId="1E00599A" w14:textId="0E7A2F4E" w:rsidR="003331D8" w:rsidRDefault="003331D8" w:rsidP="00B86213">
            <w:pPr>
              <w:ind w:left="720"/>
              <w:rPr>
                <w:rFonts w:ascii="Calibri" w:hAnsi="Calibri"/>
              </w:rPr>
            </w:pPr>
          </w:p>
          <w:p w14:paraId="00758C52" w14:textId="40E71CCF" w:rsidR="003331D8" w:rsidRDefault="003331D8" w:rsidP="00B86213">
            <w:pPr>
              <w:ind w:left="720"/>
              <w:rPr>
                <w:rFonts w:ascii="Calibri" w:hAnsi="Calibri"/>
              </w:rPr>
            </w:pPr>
            <w:r>
              <w:rPr>
                <w:rFonts w:ascii="Calibri" w:hAnsi="Calibri"/>
              </w:rPr>
              <w:t>4.</w:t>
            </w:r>
          </w:p>
          <w:p w14:paraId="67F7F257" w14:textId="7D490351" w:rsidR="00B86213" w:rsidRDefault="00B86213" w:rsidP="00B86213">
            <w:pPr>
              <w:rPr>
                <w:rFonts w:ascii="Calibri" w:hAnsi="Calibri"/>
              </w:rPr>
            </w:pPr>
          </w:p>
          <w:p w14:paraId="75113D9F" w14:textId="660EB26C" w:rsidR="003331D8" w:rsidRDefault="003331D8" w:rsidP="003331D8">
            <w:pPr>
              <w:ind w:left="720"/>
              <w:rPr>
                <w:rFonts w:ascii="Calibri" w:hAnsi="Calibri"/>
              </w:rPr>
            </w:pPr>
            <w:r>
              <w:rPr>
                <w:rFonts w:ascii="Calibri" w:hAnsi="Calibri"/>
              </w:rPr>
              <w:t>5.</w:t>
            </w:r>
          </w:p>
          <w:p w14:paraId="16C6DDDC" w14:textId="6639FA9D" w:rsidR="003331D8" w:rsidRDefault="003331D8" w:rsidP="00B86213">
            <w:pPr>
              <w:rPr>
                <w:rFonts w:ascii="Calibri" w:hAnsi="Calibri"/>
              </w:rPr>
            </w:pPr>
          </w:p>
          <w:p w14:paraId="595053FE" w14:textId="77777777" w:rsidR="003331D8" w:rsidRDefault="003331D8" w:rsidP="00B86213">
            <w:pPr>
              <w:rPr>
                <w:rFonts w:ascii="Calibri" w:hAnsi="Calibri"/>
              </w:rPr>
            </w:pPr>
          </w:p>
          <w:p w14:paraId="08D91CBA" w14:textId="0C1D6123" w:rsidR="00B86213" w:rsidRDefault="0015019E" w:rsidP="0015019E">
            <w:r>
              <w:t xml:space="preserve">Your partner may bring additional resources, activities or audiences to your program, as well as subject-matter expertise, and </w:t>
            </w:r>
            <w:r w:rsidR="00080308">
              <w:t xml:space="preserve">remember that </w:t>
            </w:r>
            <w:r>
              <w:t>existing library resources may support their goals.</w:t>
            </w:r>
          </w:p>
          <w:p w14:paraId="255D2C8F" w14:textId="77777777" w:rsidR="00B86213" w:rsidRDefault="00B86213" w:rsidP="00B86213">
            <w:pPr>
              <w:widowControl w:val="0"/>
              <w:rPr>
                <w:rFonts w:ascii="Calibri" w:eastAsia="Calibri" w:hAnsi="Calibri" w:cs="Calibri"/>
                <w:b/>
                <w:color w:val="FFFFFF" w:themeColor="background1"/>
              </w:rPr>
            </w:pPr>
          </w:p>
        </w:tc>
      </w:tr>
      <w:tr w:rsidR="00B86213" w:rsidRPr="00093DC8" w14:paraId="5D394C02" w14:textId="77777777" w:rsidTr="00BA2C17">
        <w:trPr>
          <w:trHeight w:val="539"/>
        </w:trPr>
        <w:tc>
          <w:tcPr>
            <w:tcW w:w="9558" w:type="dxa"/>
            <w:gridSpan w:val="3"/>
            <w:shd w:val="clear" w:color="auto" w:fill="31849B" w:themeFill="accent5" w:themeFillShade="BF"/>
            <w:vAlign w:val="center"/>
          </w:tcPr>
          <w:p w14:paraId="41C27CC4" w14:textId="0CFCB08B" w:rsidR="00B86213" w:rsidRDefault="0015019E" w:rsidP="00B86213">
            <w:pPr>
              <w:widowControl w:val="0"/>
              <w:rPr>
                <w:rFonts w:ascii="Calibri" w:eastAsia="Calibri" w:hAnsi="Calibri" w:cs="Calibri"/>
                <w:b/>
                <w:color w:val="FFFFFF" w:themeColor="background1"/>
              </w:rPr>
            </w:pPr>
            <w:r>
              <w:rPr>
                <w:rFonts w:ascii="Calibri" w:eastAsia="Calibri" w:hAnsi="Calibri" w:cs="Calibri"/>
                <w:b/>
                <w:color w:val="FFFFFF" w:themeColor="background1"/>
              </w:rPr>
              <w:lastRenderedPageBreak/>
              <w:t xml:space="preserve">Prepare for </w:t>
            </w:r>
            <w:r w:rsidR="003331D8">
              <w:rPr>
                <w:rFonts w:ascii="Calibri" w:eastAsia="Calibri" w:hAnsi="Calibri" w:cs="Calibri"/>
                <w:b/>
                <w:color w:val="FFFFFF" w:themeColor="background1"/>
              </w:rPr>
              <w:t>C</w:t>
            </w:r>
            <w:r>
              <w:rPr>
                <w:rFonts w:ascii="Calibri" w:eastAsia="Calibri" w:hAnsi="Calibri" w:cs="Calibri"/>
                <w:b/>
                <w:color w:val="FFFFFF" w:themeColor="background1"/>
              </w:rPr>
              <w:t>hange</w:t>
            </w:r>
          </w:p>
        </w:tc>
      </w:tr>
      <w:tr w:rsidR="00B86213" w:rsidRPr="00093DC8" w14:paraId="725B986E" w14:textId="77777777" w:rsidTr="00166715">
        <w:trPr>
          <w:trHeight w:val="638"/>
        </w:trPr>
        <w:tc>
          <w:tcPr>
            <w:tcW w:w="9558" w:type="dxa"/>
            <w:gridSpan w:val="3"/>
            <w:shd w:val="clear" w:color="auto" w:fill="auto"/>
            <w:vAlign w:val="center"/>
          </w:tcPr>
          <w:p w14:paraId="54584172" w14:textId="168D4ACC" w:rsidR="0015019E" w:rsidRDefault="0015019E" w:rsidP="0015019E">
            <w:r>
              <w:t xml:space="preserve">Transforming the built environment takes a lot of time! Prepare for change by thinking of a space near your library that you’d like to transform. Use the walk audit to help you get started thinking of such a space. What do you need to do to prepare it so that people can engage in it in a new way? </w:t>
            </w:r>
          </w:p>
          <w:p w14:paraId="457B3FF0" w14:textId="7BED0593" w:rsidR="0015019E" w:rsidRDefault="0015019E" w:rsidP="0015019E"/>
          <w:p w14:paraId="4EFBCA5E" w14:textId="77777777" w:rsidR="00B41202" w:rsidRDefault="00B41202" w:rsidP="0015019E"/>
          <w:p w14:paraId="4A20420B" w14:textId="5CBD3A5E" w:rsidR="0015019E" w:rsidRDefault="0015019E" w:rsidP="0015019E">
            <w:pPr>
              <w:rPr>
                <w:rFonts w:cs="Times New Roman"/>
              </w:rPr>
            </w:pPr>
            <w:r>
              <w:rPr>
                <w:rFonts w:cs="Times New Roman"/>
              </w:rPr>
              <w:t>Using the examples shared by the presenters</w:t>
            </w:r>
            <w:r w:rsidR="00080308">
              <w:rPr>
                <w:rFonts w:cs="Times New Roman"/>
              </w:rPr>
              <w:t xml:space="preserve">, </w:t>
            </w:r>
            <w:r>
              <w:rPr>
                <w:rFonts w:cs="Times New Roman"/>
              </w:rPr>
              <w:t xml:space="preserve">create a </w:t>
            </w:r>
            <w:r w:rsidRPr="00B41202">
              <w:rPr>
                <w:rFonts w:cs="Times New Roman"/>
                <w:b/>
                <w:bCs/>
              </w:rPr>
              <w:t>wish-list of items for your vison of a new outdoor space</w:t>
            </w:r>
            <w:r>
              <w:rPr>
                <w:rFonts w:cs="Times New Roman"/>
              </w:rPr>
              <w:t xml:space="preserve">. For example, do you want a permanent </w:t>
            </w:r>
            <w:proofErr w:type="spellStart"/>
            <w:r>
              <w:rPr>
                <w:rFonts w:cs="Times New Roman"/>
              </w:rPr>
              <w:t>StoryWalk</w:t>
            </w:r>
            <w:proofErr w:type="spellEnd"/>
            <w:r>
              <w:rPr>
                <w:rFonts w:cs="Times New Roman"/>
              </w:rPr>
              <w:t xml:space="preserve"> installation? Transform a parking lot to create a parking lot park? Urban Hikes installations? </w:t>
            </w:r>
          </w:p>
          <w:p w14:paraId="6936DD26" w14:textId="77777777" w:rsidR="00B41202" w:rsidRDefault="00B41202" w:rsidP="00B86213">
            <w:pPr>
              <w:rPr>
                <w:rFonts w:ascii="Calibri" w:hAnsi="Calibri"/>
              </w:rPr>
            </w:pPr>
          </w:p>
          <w:p w14:paraId="33757BF5" w14:textId="77777777" w:rsidR="00B41202" w:rsidRDefault="00B41202" w:rsidP="00B86213">
            <w:pPr>
              <w:rPr>
                <w:rFonts w:ascii="Calibri" w:hAnsi="Calibri"/>
              </w:rPr>
            </w:pPr>
          </w:p>
          <w:p w14:paraId="3DACA963" w14:textId="77777777" w:rsidR="00B41202" w:rsidRDefault="00B41202" w:rsidP="00B86213">
            <w:pPr>
              <w:rPr>
                <w:rFonts w:ascii="Calibri" w:hAnsi="Calibri"/>
              </w:rPr>
            </w:pPr>
          </w:p>
          <w:p w14:paraId="77D39D02" w14:textId="3D2132F5" w:rsidR="0015019E" w:rsidRDefault="0015019E" w:rsidP="00B86213">
            <w:r>
              <w:t xml:space="preserve">After you have a vision for change, get started using pop-up projects. You can get ready for your permanent </w:t>
            </w:r>
            <w:proofErr w:type="spellStart"/>
            <w:r>
              <w:t>StoryWalk</w:t>
            </w:r>
            <w:proofErr w:type="spellEnd"/>
            <w:r>
              <w:t xml:space="preserve"> by doing a temporary </w:t>
            </w:r>
            <w:proofErr w:type="spellStart"/>
            <w:r>
              <w:t>StoryWalk</w:t>
            </w:r>
            <w:proofErr w:type="spellEnd"/>
            <w:r>
              <w:t>. Get started using these resources:</w:t>
            </w:r>
          </w:p>
          <w:p w14:paraId="20A05E11" w14:textId="764DAF8B" w:rsidR="0015019E" w:rsidRDefault="00525682" w:rsidP="0015019E">
            <w:pPr>
              <w:pStyle w:val="ListParagraph"/>
              <w:numPr>
                <w:ilvl w:val="0"/>
                <w:numId w:val="34"/>
              </w:numPr>
            </w:pPr>
            <w:hyperlink r:id="rId20" w:history="1">
              <w:r w:rsidR="0015019E" w:rsidRPr="0015019E">
                <w:rPr>
                  <w:rStyle w:val="Hyperlink"/>
                </w:rPr>
                <w:t xml:space="preserve">Let’s Move in Libraries </w:t>
              </w:r>
              <w:proofErr w:type="spellStart"/>
              <w:r w:rsidR="0015019E" w:rsidRPr="0015019E">
                <w:rPr>
                  <w:rStyle w:val="Hyperlink"/>
                </w:rPr>
                <w:t>StoryWalk</w:t>
              </w:r>
              <w:proofErr w:type="spellEnd"/>
              <w:r w:rsidR="0015019E" w:rsidRPr="0015019E">
                <w:rPr>
                  <w:rStyle w:val="Hyperlink"/>
                </w:rPr>
                <w:t xml:space="preserve"> page</w:t>
              </w:r>
            </w:hyperlink>
          </w:p>
          <w:p w14:paraId="7F9D1309" w14:textId="77777777" w:rsidR="0015019E" w:rsidRDefault="00525682" w:rsidP="0015019E">
            <w:pPr>
              <w:pStyle w:val="ListParagraph"/>
              <w:numPr>
                <w:ilvl w:val="0"/>
                <w:numId w:val="34"/>
              </w:numPr>
            </w:pPr>
            <w:hyperlink r:id="rId21" w:history="1">
              <w:r w:rsidR="0015019E" w:rsidRPr="0015019E">
                <w:rPr>
                  <w:rStyle w:val="Hyperlink"/>
                </w:rPr>
                <w:t xml:space="preserve">Curiosity City’s </w:t>
              </w:r>
              <w:proofErr w:type="spellStart"/>
              <w:r w:rsidR="0015019E" w:rsidRPr="0015019E">
                <w:rPr>
                  <w:rStyle w:val="Hyperlink"/>
                </w:rPr>
                <w:t>StoryWalk</w:t>
              </w:r>
              <w:proofErr w:type="spellEnd"/>
              <w:r w:rsidR="0015019E" w:rsidRPr="0015019E">
                <w:rPr>
                  <w:rStyle w:val="Hyperlink"/>
                </w:rPr>
                <w:t xml:space="preserve"> page</w:t>
              </w:r>
            </w:hyperlink>
          </w:p>
          <w:p w14:paraId="49E6080A" w14:textId="77777777" w:rsidR="0015019E" w:rsidRDefault="00525682" w:rsidP="0015019E">
            <w:pPr>
              <w:pStyle w:val="ListParagraph"/>
              <w:numPr>
                <w:ilvl w:val="0"/>
                <w:numId w:val="34"/>
              </w:numPr>
            </w:pPr>
            <w:hyperlink r:id="rId22" w:history="1">
              <w:r w:rsidR="0015019E" w:rsidRPr="0015019E">
                <w:rPr>
                  <w:rStyle w:val="Hyperlink"/>
                </w:rPr>
                <w:t xml:space="preserve">DIY </w:t>
              </w:r>
              <w:proofErr w:type="spellStart"/>
              <w:r w:rsidR="0015019E" w:rsidRPr="0015019E">
                <w:rPr>
                  <w:rStyle w:val="Hyperlink"/>
                </w:rPr>
                <w:t>StoryWalk</w:t>
              </w:r>
              <w:proofErr w:type="spellEnd"/>
              <w:r w:rsidR="0015019E" w:rsidRPr="0015019E">
                <w:rPr>
                  <w:rStyle w:val="Hyperlink"/>
                </w:rPr>
                <w:t xml:space="preserve"> </w:t>
              </w:r>
              <w:proofErr w:type="spellStart"/>
              <w:r w:rsidR="0015019E" w:rsidRPr="0015019E">
                <w:rPr>
                  <w:rStyle w:val="Hyperlink"/>
                </w:rPr>
                <w:t>LibGuide</w:t>
              </w:r>
              <w:proofErr w:type="spellEnd"/>
              <w:r w:rsidR="0015019E" w:rsidRPr="0015019E">
                <w:rPr>
                  <w:rStyle w:val="Hyperlink"/>
                </w:rPr>
                <w:t xml:space="preserve"> from Appalachian Regional Library System</w:t>
              </w:r>
            </w:hyperlink>
          </w:p>
          <w:p w14:paraId="6773E11A" w14:textId="77777777" w:rsidR="0015019E" w:rsidRDefault="0015019E" w:rsidP="0015019E"/>
          <w:p w14:paraId="1F0071A0" w14:textId="67C3C9DB" w:rsidR="0015019E" w:rsidRDefault="0015019E" w:rsidP="0015019E">
            <w:r>
              <w:t xml:space="preserve">Use the same process for </w:t>
            </w:r>
            <w:r w:rsidRPr="00B41202">
              <w:rPr>
                <w:b/>
                <w:bCs/>
              </w:rPr>
              <w:t>other structural changes</w:t>
            </w:r>
            <w:r>
              <w:t xml:space="preserve">. </w:t>
            </w:r>
          </w:p>
          <w:p w14:paraId="5D23C886" w14:textId="77777777" w:rsidR="00B41202" w:rsidRDefault="00B41202" w:rsidP="0015019E"/>
          <w:p w14:paraId="1D544FE0" w14:textId="6F13D3ED" w:rsidR="0015019E" w:rsidRDefault="0015019E" w:rsidP="0015019E">
            <w:r>
              <w:t xml:space="preserve">Want to transform your library’s parking lot? Get started using the </w:t>
            </w:r>
            <w:hyperlink r:id="rId23" w:history="1">
              <w:r w:rsidRPr="0015019E">
                <w:rPr>
                  <w:rStyle w:val="Hyperlink"/>
                </w:rPr>
                <w:t>Tactics guide from America Walks</w:t>
              </w:r>
            </w:hyperlink>
            <w:r>
              <w:t xml:space="preserve">.  </w:t>
            </w:r>
          </w:p>
          <w:p w14:paraId="66B60BE7" w14:textId="40D0A115" w:rsidR="0015019E" w:rsidRDefault="0015019E" w:rsidP="0015019E">
            <w:r>
              <w:t>Want to create permanent installations on Urban Hikes</w:t>
            </w:r>
            <w:r w:rsidR="00850473">
              <w:t xml:space="preserve">? Get started doing a walking tour of local historical sites, public art, or haunted history. </w:t>
            </w:r>
          </w:p>
          <w:p w14:paraId="2C7F40CA" w14:textId="28E5534F" w:rsidR="00B41202" w:rsidRDefault="00B41202" w:rsidP="0015019E"/>
          <w:p w14:paraId="00B9D3F2" w14:textId="2C8F5CA1" w:rsidR="00B41202" w:rsidRDefault="00B41202" w:rsidP="0015019E"/>
          <w:p w14:paraId="12E15639" w14:textId="77777777" w:rsidR="00B41202" w:rsidRDefault="00B41202" w:rsidP="0015019E"/>
          <w:p w14:paraId="003684A2" w14:textId="468AF36C" w:rsidR="00850473" w:rsidRDefault="00850473" w:rsidP="0015019E"/>
          <w:p w14:paraId="69AD4D5F" w14:textId="3359B3DE" w:rsidR="00850473" w:rsidRDefault="00850473" w:rsidP="00850473">
            <w:pPr>
              <w:rPr>
                <w:b/>
              </w:rPr>
            </w:pPr>
            <w:r>
              <w:rPr>
                <w:b/>
              </w:rPr>
              <w:t xml:space="preserve">Write here </w:t>
            </w:r>
            <w:r w:rsidR="00CC68C7">
              <w:rPr>
                <w:b/>
              </w:rPr>
              <w:t>the</w:t>
            </w:r>
            <w:r>
              <w:rPr>
                <w:b/>
              </w:rPr>
              <w:t xml:space="preserve"> pop-up tactics you can use to prepare permanent changes to the built environment. </w:t>
            </w:r>
          </w:p>
          <w:p w14:paraId="274C01EC" w14:textId="29F28C68" w:rsidR="00850473" w:rsidRDefault="00850473" w:rsidP="00850473">
            <w:pPr>
              <w:rPr>
                <w:b/>
              </w:rPr>
            </w:pPr>
          </w:p>
          <w:p w14:paraId="6AC7E39C" w14:textId="77777777" w:rsidR="00B41202" w:rsidRDefault="00B41202" w:rsidP="00B41202">
            <w:pPr>
              <w:ind w:left="720"/>
              <w:rPr>
                <w:rFonts w:ascii="Calibri" w:hAnsi="Calibri"/>
              </w:rPr>
            </w:pPr>
            <w:r>
              <w:rPr>
                <w:rFonts w:ascii="Calibri" w:hAnsi="Calibri"/>
              </w:rPr>
              <w:t>1.</w:t>
            </w:r>
          </w:p>
          <w:p w14:paraId="1173C54C" w14:textId="69B571FE" w:rsidR="00B41202" w:rsidRDefault="00B41202" w:rsidP="00B41202">
            <w:pPr>
              <w:ind w:left="720"/>
              <w:rPr>
                <w:rFonts w:ascii="Calibri" w:hAnsi="Calibri"/>
              </w:rPr>
            </w:pPr>
          </w:p>
          <w:p w14:paraId="70E2FA55" w14:textId="4EAA7FA5" w:rsidR="00B41202" w:rsidRDefault="00B41202" w:rsidP="00B41202">
            <w:pPr>
              <w:ind w:left="720"/>
              <w:rPr>
                <w:rFonts w:ascii="Calibri" w:hAnsi="Calibri"/>
              </w:rPr>
            </w:pPr>
          </w:p>
          <w:p w14:paraId="7DEFC503" w14:textId="77777777" w:rsidR="00B41202" w:rsidRDefault="00B41202" w:rsidP="00B41202">
            <w:pPr>
              <w:ind w:left="720"/>
              <w:rPr>
                <w:rFonts w:ascii="Calibri" w:hAnsi="Calibri"/>
              </w:rPr>
            </w:pPr>
          </w:p>
          <w:p w14:paraId="21649E32" w14:textId="77777777" w:rsidR="00B41202" w:rsidRDefault="00B41202" w:rsidP="00B41202">
            <w:pPr>
              <w:ind w:left="720"/>
              <w:rPr>
                <w:rFonts w:ascii="Calibri" w:hAnsi="Calibri"/>
              </w:rPr>
            </w:pPr>
            <w:r>
              <w:rPr>
                <w:rFonts w:ascii="Calibri" w:hAnsi="Calibri"/>
              </w:rPr>
              <w:t>2.</w:t>
            </w:r>
          </w:p>
          <w:p w14:paraId="2C15B6BD" w14:textId="72660FC1" w:rsidR="00B41202" w:rsidRDefault="00B41202" w:rsidP="00B41202">
            <w:pPr>
              <w:rPr>
                <w:rFonts w:ascii="Calibri" w:hAnsi="Calibri"/>
              </w:rPr>
            </w:pPr>
            <w:bookmarkStart w:id="0" w:name="_GoBack"/>
            <w:bookmarkEnd w:id="0"/>
          </w:p>
          <w:p w14:paraId="50774F21" w14:textId="0C23941C" w:rsidR="00B41202" w:rsidRDefault="00B41202" w:rsidP="00B41202">
            <w:pPr>
              <w:rPr>
                <w:rFonts w:ascii="Calibri" w:hAnsi="Calibri"/>
              </w:rPr>
            </w:pPr>
          </w:p>
          <w:p w14:paraId="4BF5B7F5" w14:textId="77777777" w:rsidR="00B41202" w:rsidRDefault="00B41202" w:rsidP="00B41202">
            <w:pPr>
              <w:rPr>
                <w:rFonts w:ascii="Calibri" w:hAnsi="Calibri"/>
              </w:rPr>
            </w:pPr>
          </w:p>
          <w:p w14:paraId="58102A94" w14:textId="77777777" w:rsidR="00B41202" w:rsidRDefault="00B41202" w:rsidP="00B41202">
            <w:pPr>
              <w:ind w:left="720"/>
              <w:rPr>
                <w:rFonts w:ascii="Calibri" w:hAnsi="Calibri"/>
              </w:rPr>
            </w:pPr>
            <w:r>
              <w:rPr>
                <w:rFonts w:ascii="Calibri" w:hAnsi="Calibri"/>
              </w:rPr>
              <w:t>3.</w:t>
            </w:r>
          </w:p>
          <w:p w14:paraId="7F3E5943" w14:textId="2C9F1E47" w:rsidR="00B41202" w:rsidRDefault="00B41202" w:rsidP="00B41202">
            <w:pPr>
              <w:ind w:left="720"/>
              <w:rPr>
                <w:rFonts w:ascii="Calibri" w:hAnsi="Calibri"/>
              </w:rPr>
            </w:pPr>
          </w:p>
          <w:p w14:paraId="6F594F53" w14:textId="50451292" w:rsidR="00B41202" w:rsidRDefault="00B41202" w:rsidP="00B41202">
            <w:pPr>
              <w:ind w:left="720"/>
              <w:rPr>
                <w:rFonts w:ascii="Calibri" w:hAnsi="Calibri"/>
              </w:rPr>
            </w:pPr>
          </w:p>
          <w:p w14:paraId="04E648C7" w14:textId="77777777" w:rsidR="00B41202" w:rsidRDefault="00B41202" w:rsidP="00B41202">
            <w:pPr>
              <w:ind w:left="720"/>
              <w:rPr>
                <w:rFonts w:ascii="Calibri" w:hAnsi="Calibri"/>
              </w:rPr>
            </w:pPr>
          </w:p>
          <w:p w14:paraId="15F355F4" w14:textId="77777777" w:rsidR="00B41202" w:rsidRDefault="00B41202" w:rsidP="00B41202">
            <w:pPr>
              <w:ind w:left="720"/>
              <w:rPr>
                <w:rFonts w:ascii="Calibri" w:hAnsi="Calibri"/>
              </w:rPr>
            </w:pPr>
            <w:r>
              <w:rPr>
                <w:rFonts w:ascii="Calibri" w:hAnsi="Calibri"/>
              </w:rPr>
              <w:t>4.</w:t>
            </w:r>
          </w:p>
          <w:p w14:paraId="333539CC" w14:textId="1182B6B0" w:rsidR="00B41202" w:rsidRDefault="00B41202" w:rsidP="00B41202">
            <w:pPr>
              <w:rPr>
                <w:rFonts w:ascii="Calibri" w:hAnsi="Calibri"/>
              </w:rPr>
            </w:pPr>
          </w:p>
          <w:p w14:paraId="5EA740D9" w14:textId="516FA68A" w:rsidR="00B41202" w:rsidRDefault="00B41202" w:rsidP="00B41202">
            <w:pPr>
              <w:rPr>
                <w:rFonts w:ascii="Calibri" w:hAnsi="Calibri"/>
              </w:rPr>
            </w:pPr>
          </w:p>
          <w:p w14:paraId="4354D094" w14:textId="77777777" w:rsidR="00B41202" w:rsidRDefault="00B41202" w:rsidP="00B41202">
            <w:pPr>
              <w:rPr>
                <w:rFonts w:ascii="Calibri" w:hAnsi="Calibri"/>
              </w:rPr>
            </w:pPr>
          </w:p>
          <w:p w14:paraId="7821BC10" w14:textId="27D28C71" w:rsidR="00B41202" w:rsidRPr="00B41202" w:rsidRDefault="00B41202" w:rsidP="00B41202">
            <w:pPr>
              <w:ind w:left="720"/>
              <w:rPr>
                <w:rFonts w:ascii="Calibri" w:hAnsi="Calibri"/>
              </w:rPr>
            </w:pPr>
            <w:r>
              <w:rPr>
                <w:rFonts w:ascii="Calibri" w:hAnsi="Calibri"/>
              </w:rPr>
              <w:t>5.</w:t>
            </w:r>
          </w:p>
          <w:p w14:paraId="35D5E36D" w14:textId="6982A5E9" w:rsidR="00B41202" w:rsidRDefault="00B41202" w:rsidP="00080308">
            <w:pPr>
              <w:contextualSpacing/>
              <w:rPr>
                <w:rFonts w:eastAsia="Calibri"/>
                <w:color w:val="000000" w:themeColor="text1"/>
              </w:rPr>
            </w:pPr>
          </w:p>
          <w:p w14:paraId="5494FA85" w14:textId="564B26D5" w:rsidR="00B86213" w:rsidRDefault="00B86213" w:rsidP="00B41202"/>
        </w:tc>
      </w:tr>
      <w:tr w:rsidR="00B41202" w:rsidRPr="00093DC8" w14:paraId="4476E956" w14:textId="77777777" w:rsidTr="00166715">
        <w:trPr>
          <w:cantSplit/>
          <w:trHeight w:val="656"/>
        </w:trPr>
        <w:tc>
          <w:tcPr>
            <w:tcW w:w="9558" w:type="dxa"/>
            <w:gridSpan w:val="3"/>
            <w:shd w:val="clear" w:color="auto" w:fill="31849B" w:themeFill="accent5" w:themeFillShade="BF"/>
            <w:vAlign w:val="center"/>
          </w:tcPr>
          <w:p w14:paraId="2377C2BF" w14:textId="2BA5B5DD" w:rsidR="00B41202" w:rsidRPr="00E0781A" w:rsidRDefault="00B41202" w:rsidP="00B86213">
            <w:pPr>
              <w:spacing w:before="100" w:beforeAutospacing="1" w:after="100" w:afterAutospacing="1"/>
              <w:rPr>
                <w:b/>
                <w:color w:val="FFFFFF"/>
                <w:sz w:val="24"/>
                <w:shd w:val="clear" w:color="auto" w:fill="31849B"/>
              </w:rPr>
            </w:pPr>
            <w:r>
              <w:rPr>
                <w:b/>
                <w:color w:val="FFFFFF"/>
                <w:sz w:val="24"/>
                <w:shd w:val="clear" w:color="auto" w:fill="31849B"/>
              </w:rPr>
              <w:lastRenderedPageBreak/>
              <w:t>Brainstorm Funding Sources</w:t>
            </w:r>
          </w:p>
        </w:tc>
      </w:tr>
      <w:tr w:rsidR="00B41202" w:rsidRPr="00093DC8" w14:paraId="17F9F0F8" w14:textId="77777777" w:rsidTr="00B41202">
        <w:trPr>
          <w:cantSplit/>
          <w:trHeight w:val="656"/>
        </w:trPr>
        <w:tc>
          <w:tcPr>
            <w:tcW w:w="9558" w:type="dxa"/>
            <w:gridSpan w:val="3"/>
            <w:shd w:val="clear" w:color="auto" w:fill="FFFFFF" w:themeFill="background1"/>
            <w:vAlign w:val="center"/>
          </w:tcPr>
          <w:p w14:paraId="1D3CC805" w14:textId="1F714862" w:rsidR="00B41202" w:rsidRPr="00B41202" w:rsidRDefault="00B41202" w:rsidP="00B41202">
            <w:pPr>
              <w:rPr>
                <w:bCs/>
              </w:rPr>
            </w:pPr>
            <w:r w:rsidRPr="00B41202">
              <w:rPr>
                <w:bCs/>
              </w:rPr>
              <w:t>Brainstorm funding sources, considering your potential partners, and the funding organizations they might have access to:</w:t>
            </w:r>
          </w:p>
          <w:p w14:paraId="3FD229AE" w14:textId="77777777" w:rsidR="00B41202" w:rsidRDefault="00525682" w:rsidP="00B41202">
            <w:pPr>
              <w:pStyle w:val="ListParagraph"/>
              <w:numPr>
                <w:ilvl w:val="0"/>
                <w:numId w:val="33"/>
              </w:numPr>
              <w:spacing w:line="276" w:lineRule="auto"/>
              <w:contextualSpacing/>
              <w:rPr>
                <w:rFonts w:asciiTheme="minorHAnsi" w:hAnsiTheme="minorHAnsi"/>
                <w:color w:val="000000"/>
              </w:rPr>
            </w:pPr>
            <w:hyperlink r:id="rId24" w:history="1">
              <w:r w:rsidR="00B41202" w:rsidRPr="0015019E">
                <w:rPr>
                  <w:rStyle w:val="Hyperlink"/>
                  <w:rFonts w:asciiTheme="minorHAnsi" w:hAnsiTheme="minorHAnsi"/>
                </w:rPr>
                <w:t>America Walks’ Community Change Grant</w:t>
              </w:r>
            </w:hyperlink>
          </w:p>
          <w:p w14:paraId="7C95C516" w14:textId="77777777" w:rsidR="00B41202" w:rsidRDefault="00B41202" w:rsidP="00B41202">
            <w:pPr>
              <w:pStyle w:val="ListParagraph"/>
              <w:numPr>
                <w:ilvl w:val="0"/>
                <w:numId w:val="33"/>
              </w:numPr>
              <w:spacing w:line="276" w:lineRule="auto"/>
              <w:contextualSpacing/>
              <w:rPr>
                <w:rFonts w:asciiTheme="minorHAnsi" w:hAnsiTheme="minorHAnsi"/>
                <w:color w:val="000000"/>
              </w:rPr>
            </w:pPr>
            <w:r>
              <w:rPr>
                <w:rFonts w:asciiTheme="minorHAnsi" w:hAnsiTheme="minorHAnsi"/>
                <w:color w:val="000000"/>
              </w:rPr>
              <w:t>Library Friends and Foundations</w:t>
            </w:r>
          </w:p>
          <w:p w14:paraId="18B6C4C5" w14:textId="77777777" w:rsidR="00B41202" w:rsidRDefault="00B41202" w:rsidP="00B41202">
            <w:pPr>
              <w:pStyle w:val="ListParagraph"/>
              <w:numPr>
                <w:ilvl w:val="0"/>
                <w:numId w:val="33"/>
              </w:numPr>
              <w:spacing w:line="276" w:lineRule="auto"/>
              <w:contextualSpacing/>
              <w:rPr>
                <w:rFonts w:asciiTheme="minorHAnsi" w:hAnsiTheme="minorHAnsi"/>
                <w:color w:val="000000"/>
              </w:rPr>
            </w:pPr>
            <w:r>
              <w:rPr>
                <w:rFonts w:asciiTheme="minorHAnsi" w:hAnsiTheme="minorHAnsi"/>
                <w:color w:val="000000"/>
              </w:rPr>
              <w:t>Local Health Department</w:t>
            </w:r>
          </w:p>
          <w:p w14:paraId="36A78312" w14:textId="77777777" w:rsidR="00B41202" w:rsidRDefault="00B41202" w:rsidP="00B41202">
            <w:pPr>
              <w:pStyle w:val="ListParagraph"/>
              <w:numPr>
                <w:ilvl w:val="0"/>
                <w:numId w:val="33"/>
              </w:numPr>
              <w:spacing w:line="276" w:lineRule="auto"/>
              <w:contextualSpacing/>
              <w:rPr>
                <w:rFonts w:asciiTheme="minorHAnsi" w:hAnsiTheme="minorHAnsi"/>
                <w:color w:val="000000"/>
              </w:rPr>
            </w:pPr>
            <w:r>
              <w:rPr>
                <w:rFonts w:asciiTheme="minorHAnsi" w:hAnsiTheme="minorHAnsi"/>
                <w:color w:val="000000"/>
              </w:rPr>
              <w:t>Local, regional or state family and community foundations</w:t>
            </w:r>
          </w:p>
          <w:p w14:paraId="535C2AA5" w14:textId="77777777" w:rsidR="00B41202" w:rsidRDefault="00B41202" w:rsidP="00B41202">
            <w:pPr>
              <w:pStyle w:val="ListParagraph"/>
              <w:numPr>
                <w:ilvl w:val="0"/>
                <w:numId w:val="33"/>
              </w:numPr>
              <w:spacing w:line="276" w:lineRule="auto"/>
              <w:contextualSpacing/>
              <w:rPr>
                <w:rFonts w:asciiTheme="minorHAnsi" w:hAnsiTheme="minorHAnsi"/>
                <w:color w:val="000000"/>
              </w:rPr>
            </w:pPr>
            <w:r>
              <w:rPr>
                <w:rFonts w:asciiTheme="minorHAnsi" w:hAnsiTheme="minorHAnsi"/>
                <w:color w:val="000000"/>
              </w:rPr>
              <w:t xml:space="preserve">Contact your local </w:t>
            </w:r>
            <w:hyperlink r:id="rId25" w:history="1">
              <w:r>
                <w:rPr>
                  <w:rStyle w:val="Hyperlink"/>
                  <w:rFonts w:asciiTheme="minorHAnsi" w:hAnsiTheme="minorHAnsi"/>
                </w:rPr>
                <w:t>Extension Service</w:t>
              </w:r>
            </w:hyperlink>
            <w:r>
              <w:rPr>
                <w:rFonts w:asciiTheme="minorHAnsi" w:hAnsiTheme="minorHAnsi"/>
                <w:color w:val="000000"/>
              </w:rPr>
              <w:t xml:space="preserve"> through USDA</w:t>
            </w:r>
          </w:p>
          <w:p w14:paraId="11DCE55E" w14:textId="77777777" w:rsidR="00B41202" w:rsidRDefault="00525682" w:rsidP="00B41202">
            <w:pPr>
              <w:pStyle w:val="ListParagraph"/>
              <w:numPr>
                <w:ilvl w:val="0"/>
                <w:numId w:val="33"/>
              </w:numPr>
              <w:spacing w:line="276" w:lineRule="auto"/>
              <w:contextualSpacing/>
              <w:rPr>
                <w:rFonts w:asciiTheme="minorHAnsi" w:hAnsiTheme="minorHAnsi"/>
                <w:color w:val="000000"/>
              </w:rPr>
            </w:pPr>
            <w:hyperlink r:id="rId26" w:history="1">
              <w:r w:rsidR="00B41202">
                <w:rPr>
                  <w:rStyle w:val="Hyperlink"/>
                  <w:rFonts w:asciiTheme="minorHAnsi" w:hAnsiTheme="minorHAnsi"/>
                </w:rPr>
                <w:t>National Network of Libraries of Medicine</w:t>
              </w:r>
            </w:hyperlink>
            <w:r w:rsidR="00B41202">
              <w:rPr>
                <w:rStyle w:val="d-none"/>
                <w:rFonts w:asciiTheme="minorHAnsi" w:hAnsiTheme="minorHAnsi"/>
                <w:color w:val="000000"/>
              </w:rPr>
              <w:t xml:space="preserve"> </w:t>
            </w:r>
            <w:r w:rsidR="00B41202">
              <w:rPr>
                <w:rFonts w:asciiTheme="minorHAnsi" w:hAnsiTheme="minorHAnsi"/>
                <w:color w:val="000000"/>
              </w:rPr>
              <w:t>offers funding for projects that improve access to health information, increase engagement with research and data, expand professional knowledge, and support outreach that promotes awareness and use of NLM resources in local communities.</w:t>
            </w:r>
          </w:p>
          <w:p w14:paraId="6258106D" w14:textId="7809AB4F" w:rsidR="00B41202" w:rsidRDefault="00B41202" w:rsidP="00B41202">
            <w:pPr>
              <w:pStyle w:val="ListParagraph"/>
              <w:numPr>
                <w:ilvl w:val="0"/>
                <w:numId w:val="33"/>
              </w:numPr>
              <w:spacing w:line="276" w:lineRule="auto"/>
              <w:contextualSpacing/>
              <w:rPr>
                <w:rFonts w:asciiTheme="minorHAnsi" w:hAnsiTheme="minorHAnsi"/>
                <w:color w:val="000000"/>
              </w:rPr>
            </w:pPr>
            <w:r>
              <w:rPr>
                <w:rFonts w:asciiTheme="minorHAnsi" w:hAnsiTheme="minorHAnsi"/>
                <w:color w:val="000000"/>
              </w:rPr>
              <w:t xml:space="preserve">Search the </w:t>
            </w:r>
            <w:hyperlink r:id="rId27" w:history="1">
              <w:r>
                <w:rPr>
                  <w:rStyle w:val="Hyperlink"/>
                  <w:rFonts w:asciiTheme="minorHAnsi" w:hAnsiTheme="minorHAnsi"/>
                </w:rPr>
                <w:t>Library Grants blog</w:t>
              </w:r>
            </w:hyperlink>
            <w:r>
              <w:rPr>
                <w:rFonts w:asciiTheme="minorHAnsi" w:hAnsiTheme="minorHAnsi"/>
                <w:color w:val="000000"/>
              </w:rPr>
              <w:t xml:space="preserve"> for health-related opportunities</w:t>
            </w:r>
          </w:p>
          <w:p w14:paraId="25FDEBB7" w14:textId="295D61DD" w:rsidR="00FD60BA" w:rsidRDefault="00FD60BA" w:rsidP="00B41202">
            <w:pPr>
              <w:pStyle w:val="ListParagraph"/>
              <w:numPr>
                <w:ilvl w:val="0"/>
                <w:numId w:val="33"/>
              </w:numPr>
              <w:spacing w:line="276" w:lineRule="auto"/>
              <w:contextualSpacing/>
              <w:rPr>
                <w:rFonts w:asciiTheme="minorHAnsi" w:hAnsiTheme="minorHAnsi"/>
                <w:color w:val="000000"/>
              </w:rPr>
            </w:pPr>
            <w:r>
              <w:rPr>
                <w:rFonts w:asciiTheme="minorHAnsi" w:hAnsiTheme="minorHAnsi"/>
                <w:color w:val="000000"/>
              </w:rPr>
              <w:t xml:space="preserve">EPA’s </w:t>
            </w:r>
            <w:hyperlink r:id="rId28" w:history="1">
              <w:r w:rsidRPr="00FD60BA">
                <w:rPr>
                  <w:rStyle w:val="Hyperlink"/>
                  <w:rFonts w:asciiTheme="minorHAnsi" w:hAnsiTheme="minorHAnsi"/>
                </w:rPr>
                <w:t>Smart Growth</w:t>
              </w:r>
            </w:hyperlink>
            <w:r>
              <w:rPr>
                <w:rFonts w:asciiTheme="minorHAnsi" w:hAnsiTheme="minorHAnsi"/>
                <w:color w:val="000000"/>
              </w:rPr>
              <w:t xml:space="preserve"> programs and funding opportunities</w:t>
            </w:r>
          </w:p>
          <w:p w14:paraId="677B1829" w14:textId="77777777" w:rsidR="00B41202" w:rsidRPr="00080308" w:rsidRDefault="00B41202" w:rsidP="00B41202">
            <w:pPr>
              <w:pStyle w:val="ListParagraph"/>
              <w:numPr>
                <w:ilvl w:val="0"/>
                <w:numId w:val="33"/>
              </w:numPr>
              <w:spacing w:line="276" w:lineRule="auto"/>
              <w:contextualSpacing/>
              <w:rPr>
                <w:rFonts w:eastAsia="Calibri"/>
                <w:color w:val="000000" w:themeColor="text1"/>
              </w:rPr>
            </w:pPr>
            <w:r>
              <w:rPr>
                <w:rFonts w:asciiTheme="minorHAnsi" w:hAnsiTheme="minorHAnsi"/>
                <w:color w:val="000000"/>
              </w:rPr>
              <w:t>Reach out to your state library and their public library consultant to see if LSTA funding may be available to support your programming.</w:t>
            </w:r>
          </w:p>
          <w:p w14:paraId="785AD2AE" w14:textId="77777777" w:rsidR="00B41202" w:rsidRDefault="00B41202" w:rsidP="00B41202">
            <w:pPr>
              <w:spacing w:line="276" w:lineRule="auto"/>
              <w:contextualSpacing/>
              <w:rPr>
                <w:rFonts w:eastAsia="Calibri"/>
                <w:color w:val="000000" w:themeColor="text1"/>
              </w:rPr>
            </w:pPr>
          </w:p>
          <w:p w14:paraId="3241932E" w14:textId="77777777" w:rsidR="00B41202" w:rsidRDefault="00B41202" w:rsidP="00B41202">
            <w:pPr>
              <w:rPr>
                <w:b/>
              </w:rPr>
            </w:pPr>
            <w:r>
              <w:rPr>
                <w:b/>
              </w:rPr>
              <w:t>List funding sources you’ll research to prepare for change:</w:t>
            </w:r>
          </w:p>
          <w:p w14:paraId="6A323327" w14:textId="77777777" w:rsidR="00B41202" w:rsidRDefault="00B41202" w:rsidP="00B41202">
            <w:pPr>
              <w:rPr>
                <w:b/>
              </w:rPr>
            </w:pPr>
          </w:p>
          <w:p w14:paraId="1A81AC0F" w14:textId="77777777" w:rsidR="00B41202" w:rsidRDefault="00B41202" w:rsidP="00B41202">
            <w:pPr>
              <w:ind w:left="720"/>
              <w:rPr>
                <w:rFonts w:ascii="Calibri" w:hAnsi="Calibri"/>
              </w:rPr>
            </w:pPr>
            <w:r>
              <w:rPr>
                <w:b/>
              </w:rPr>
              <w:t xml:space="preserve"> </w:t>
            </w:r>
            <w:r>
              <w:rPr>
                <w:rFonts w:ascii="Calibri" w:hAnsi="Calibri"/>
              </w:rPr>
              <w:t>1.</w:t>
            </w:r>
          </w:p>
          <w:p w14:paraId="7BB28566" w14:textId="77777777" w:rsidR="00B41202" w:rsidRDefault="00B41202" w:rsidP="00B41202">
            <w:pPr>
              <w:ind w:left="720"/>
              <w:rPr>
                <w:rFonts w:ascii="Calibri" w:hAnsi="Calibri"/>
              </w:rPr>
            </w:pPr>
          </w:p>
          <w:p w14:paraId="0AB4A4FA" w14:textId="77777777" w:rsidR="00B41202" w:rsidRDefault="00B41202" w:rsidP="00B41202">
            <w:pPr>
              <w:ind w:left="720"/>
              <w:rPr>
                <w:rFonts w:ascii="Calibri" w:hAnsi="Calibri"/>
              </w:rPr>
            </w:pPr>
            <w:r>
              <w:rPr>
                <w:rFonts w:ascii="Calibri" w:hAnsi="Calibri"/>
              </w:rPr>
              <w:t>2.</w:t>
            </w:r>
          </w:p>
          <w:p w14:paraId="4F29B54E" w14:textId="77777777" w:rsidR="00B41202" w:rsidRDefault="00B41202" w:rsidP="00B41202">
            <w:pPr>
              <w:rPr>
                <w:rFonts w:ascii="Calibri" w:hAnsi="Calibri"/>
              </w:rPr>
            </w:pPr>
          </w:p>
          <w:p w14:paraId="0E1D4ACE" w14:textId="77777777" w:rsidR="00B41202" w:rsidRDefault="00B41202" w:rsidP="00B41202">
            <w:pPr>
              <w:ind w:left="720"/>
              <w:rPr>
                <w:rFonts w:ascii="Calibri" w:hAnsi="Calibri"/>
              </w:rPr>
            </w:pPr>
            <w:r>
              <w:rPr>
                <w:rFonts w:ascii="Calibri" w:hAnsi="Calibri"/>
              </w:rPr>
              <w:t>3.</w:t>
            </w:r>
          </w:p>
          <w:p w14:paraId="14CB6FAB" w14:textId="77777777" w:rsidR="00B41202" w:rsidRDefault="00B41202" w:rsidP="00B41202">
            <w:pPr>
              <w:ind w:left="720"/>
              <w:rPr>
                <w:rFonts w:ascii="Calibri" w:hAnsi="Calibri"/>
              </w:rPr>
            </w:pPr>
          </w:p>
          <w:p w14:paraId="769AE312" w14:textId="2B761282" w:rsidR="00B41202" w:rsidRDefault="00B41202" w:rsidP="00ED731A">
            <w:pPr>
              <w:ind w:left="720"/>
              <w:rPr>
                <w:rFonts w:ascii="Calibri" w:hAnsi="Calibri"/>
              </w:rPr>
            </w:pPr>
            <w:r>
              <w:rPr>
                <w:rFonts w:ascii="Calibri" w:hAnsi="Calibri"/>
              </w:rPr>
              <w:t>4.</w:t>
            </w:r>
          </w:p>
          <w:p w14:paraId="26C2BDD9" w14:textId="63F9861D" w:rsidR="00B41202" w:rsidRPr="00B41202" w:rsidRDefault="00B41202" w:rsidP="00B41202">
            <w:pPr>
              <w:ind w:left="720"/>
              <w:rPr>
                <w:rFonts w:ascii="Calibri" w:hAnsi="Calibri"/>
              </w:rPr>
            </w:pPr>
          </w:p>
        </w:tc>
      </w:tr>
      <w:tr w:rsidR="00B86213" w:rsidRPr="00093DC8" w14:paraId="31B778DD" w14:textId="77777777" w:rsidTr="00166715">
        <w:trPr>
          <w:cantSplit/>
          <w:trHeight w:val="656"/>
        </w:trPr>
        <w:tc>
          <w:tcPr>
            <w:tcW w:w="9558" w:type="dxa"/>
            <w:gridSpan w:val="3"/>
            <w:shd w:val="clear" w:color="auto" w:fill="31849B" w:themeFill="accent5" w:themeFillShade="BF"/>
            <w:vAlign w:val="center"/>
          </w:tcPr>
          <w:p w14:paraId="765EE656" w14:textId="1B6BFFD7" w:rsidR="00B86213" w:rsidRPr="00F024A2" w:rsidRDefault="00B86213" w:rsidP="00B86213">
            <w:pPr>
              <w:spacing w:before="100" w:beforeAutospacing="1" w:after="100" w:afterAutospacing="1"/>
              <w:rPr>
                <w:rFonts w:ascii="Calibri" w:eastAsia="Calibri" w:hAnsi="Calibri" w:cs="Calibri"/>
                <w:color w:val="FFFFFF"/>
                <w:sz w:val="24"/>
              </w:rPr>
            </w:pPr>
            <w:r w:rsidRPr="00E0781A">
              <w:rPr>
                <w:b/>
                <w:color w:val="FFFFFF"/>
                <w:sz w:val="24"/>
                <w:shd w:val="clear" w:color="auto" w:fill="31849B"/>
              </w:rPr>
              <w:t>Action Plan:</w:t>
            </w:r>
            <w:r w:rsidRPr="00E0781A">
              <w:rPr>
                <w:rFonts w:ascii="Calibri" w:eastAsia="Calibri" w:hAnsi="Calibri" w:cs="Calibri"/>
                <w:color w:val="FFFFFF"/>
                <w:sz w:val="24"/>
              </w:rPr>
              <w:t xml:space="preserve"> (include some simple next steps, along with who, when, etc.)</w:t>
            </w:r>
          </w:p>
        </w:tc>
      </w:tr>
      <w:tr w:rsidR="00B41202" w:rsidRPr="00093DC8" w14:paraId="0C5FA485" w14:textId="77777777" w:rsidTr="00B41202">
        <w:trPr>
          <w:cantSplit/>
          <w:trHeight w:val="656"/>
        </w:trPr>
        <w:tc>
          <w:tcPr>
            <w:tcW w:w="9558" w:type="dxa"/>
            <w:gridSpan w:val="3"/>
            <w:shd w:val="clear" w:color="auto" w:fill="FFFFFF" w:themeFill="background1"/>
            <w:vAlign w:val="center"/>
          </w:tcPr>
          <w:p w14:paraId="0EE30C67" w14:textId="77777777" w:rsidR="00B41202" w:rsidRDefault="00B41202" w:rsidP="00B86213">
            <w:pPr>
              <w:spacing w:before="100" w:beforeAutospacing="1" w:after="100" w:afterAutospacing="1"/>
              <w:rPr>
                <w:b/>
                <w:color w:val="FFFFFF"/>
                <w:sz w:val="24"/>
                <w:shd w:val="clear" w:color="auto" w:fill="31849B"/>
              </w:rPr>
            </w:pPr>
          </w:p>
          <w:p w14:paraId="68656866" w14:textId="77777777" w:rsidR="00B41202" w:rsidRDefault="00B41202" w:rsidP="00B86213">
            <w:pPr>
              <w:spacing w:before="100" w:beforeAutospacing="1" w:after="100" w:afterAutospacing="1"/>
              <w:rPr>
                <w:b/>
                <w:color w:val="FFFFFF"/>
                <w:sz w:val="24"/>
                <w:shd w:val="clear" w:color="auto" w:fill="31849B"/>
              </w:rPr>
            </w:pPr>
          </w:p>
          <w:p w14:paraId="14BF40F8" w14:textId="77777777" w:rsidR="00B41202" w:rsidRDefault="00B41202" w:rsidP="00B86213">
            <w:pPr>
              <w:spacing w:before="100" w:beforeAutospacing="1" w:after="100" w:afterAutospacing="1"/>
              <w:rPr>
                <w:b/>
                <w:color w:val="FFFFFF"/>
                <w:sz w:val="24"/>
                <w:shd w:val="clear" w:color="auto" w:fill="31849B"/>
              </w:rPr>
            </w:pPr>
          </w:p>
          <w:p w14:paraId="22DE3487" w14:textId="77777777" w:rsidR="00B41202" w:rsidRDefault="00B41202" w:rsidP="00B86213">
            <w:pPr>
              <w:spacing w:before="100" w:beforeAutospacing="1" w:after="100" w:afterAutospacing="1"/>
              <w:rPr>
                <w:b/>
                <w:color w:val="FFFFFF"/>
                <w:sz w:val="24"/>
                <w:shd w:val="clear" w:color="auto" w:fill="31849B"/>
              </w:rPr>
            </w:pPr>
          </w:p>
          <w:p w14:paraId="14CCCCE5" w14:textId="77777777" w:rsidR="00B41202" w:rsidRDefault="00B41202" w:rsidP="00B86213">
            <w:pPr>
              <w:spacing w:before="100" w:beforeAutospacing="1" w:after="100" w:afterAutospacing="1"/>
              <w:rPr>
                <w:b/>
                <w:color w:val="FFFFFF"/>
                <w:sz w:val="24"/>
                <w:shd w:val="clear" w:color="auto" w:fill="31849B"/>
              </w:rPr>
            </w:pPr>
          </w:p>
          <w:p w14:paraId="302FBDD2" w14:textId="77777777" w:rsidR="00B41202" w:rsidRDefault="00B41202" w:rsidP="00B86213">
            <w:pPr>
              <w:spacing w:before="100" w:beforeAutospacing="1" w:after="100" w:afterAutospacing="1"/>
              <w:rPr>
                <w:b/>
                <w:color w:val="FFFFFF"/>
                <w:sz w:val="24"/>
                <w:shd w:val="clear" w:color="auto" w:fill="31849B"/>
              </w:rPr>
            </w:pPr>
          </w:p>
          <w:p w14:paraId="169C7C77" w14:textId="0FDD19B4" w:rsidR="00B41202" w:rsidRPr="00E0781A" w:rsidRDefault="00B41202" w:rsidP="00B86213">
            <w:pPr>
              <w:spacing w:before="100" w:beforeAutospacing="1" w:after="100" w:afterAutospacing="1"/>
              <w:rPr>
                <w:b/>
                <w:color w:val="FFFFFF"/>
                <w:sz w:val="24"/>
                <w:shd w:val="clear" w:color="auto" w:fill="31849B"/>
              </w:rPr>
            </w:pPr>
          </w:p>
        </w:tc>
      </w:tr>
    </w:tbl>
    <w:p w14:paraId="528B57CE" w14:textId="7C763A81" w:rsidR="008F54EB" w:rsidRDefault="008F54EB" w:rsidP="008B3CCB"/>
    <w:sectPr w:rsidR="008F54EB" w:rsidSect="00C87458">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F953B" w14:textId="77777777" w:rsidR="00525682" w:rsidRDefault="00525682" w:rsidP="0071561B">
      <w:pPr>
        <w:spacing w:after="0" w:line="240" w:lineRule="auto"/>
      </w:pPr>
      <w:r>
        <w:separator/>
      </w:r>
    </w:p>
  </w:endnote>
  <w:endnote w:type="continuationSeparator" w:id="0">
    <w:p w14:paraId="0AE85DF7" w14:textId="77777777" w:rsidR="00525682" w:rsidRDefault="00525682"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8E7FB2" w:rsidRDefault="008E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8E7FB2" w:rsidRDefault="008E7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8E7FB2" w:rsidRDefault="008E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EE22D" w14:textId="77777777" w:rsidR="00525682" w:rsidRDefault="00525682" w:rsidP="0071561B">
      <w:pPr>
        <w:spacing w:after="0" w:line="240" w:lineRule="auto"/>
      </w:pPr>
      <w:r>
        <w:separator/>
      </w:r>
    </w:p>
  </w:footnote>
  <w:footnote w:type="continuationSeparator" w:id="0">
    <w:p w14:paraId="0EEB00F9" w14:textId="77777777" w:rsidR="00525682" w:rsidRDefault="00525682"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8E7FB2" w:rsidRDefault="008E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8E7FB2" w:rsidRDefault="008E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8E7FB2" w:rsidRDefault="008E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7EE"/>
    <w:multiLevelType w:val="hybridMultilevel"/>
    <w:tmpl w:val="160E70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8974DC"/>
    <w:multiLevelType w:val="hybridMultilevel"/>
    <w:tmpl w:val="41A6E6F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F375949"/>
    <w:multiLevelType w:val="hybridMultilevel"/>
    <w:tmpl w:val="8E1ADE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C00B7B"/>
    <w:multiLevelType w:val="hybridMultilevel"/>
    <w:tmpl w:val="B190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E4011"/>
    <w:multiLevelType w:val="hybridMultilevel"/>
    <w:tmpl w:val="25FA556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F22DA"/>
    <w:multiLevelType w:val="hybridMultilevel"/>
    <w:tmpl w:val="6F34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9F2EF4"/>
    <w:multiLevelType w:val="hybridMultilevel"/>
    <w:tmpl w:val="010812DC"/>
    <w:lvl w:ilvl="0" w:tplc="26A6F6A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634A0"/>
    <w:multiLevelType w:val="hybridMultilevel"/>
    <w:tmpl w:val="2CB46D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8749D"/>
    <w:multiLevelType w:val="hybridMultilevel"/>
    <w:tmpl w:val="76A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31323"/>
    <w:multiLevelType w:val="hybridMultilevel"/>
    <w:tmpl w:val="B9BE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7335F"/>
    <w:multiLevelType w:val="hybridMultilevel"/>
    <w:tmpl w:val="50AA1070"/>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5101A"/>
    <w:multiLevelType w:val="hybridMultilevel"/>
    <w:tmpl w:val="B71C49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935BF"/>
    <w:multiLevelType w:val="hybridMultilevel"/>
    <w:tmpl w:val="380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01D5B"/>
    <w:multiLevelType w:val="hybridMultilevel"/>
    <w:tmpl w:val="CFE65A1C"/>
    <w:lvl w:ilvl="0" w:tplc="58A62C0E">
      <w:start w:val="1"/>
      <w:numFmt w:val="bullet"/>
      <w:lvlText w:val="●"/>
      <w:lvlJc w:val="left"/>
      <w:pPr>
        <w:tabs>
          <w:tab w:val="num" w:pos="720"/>
        </w:tabs>
        <w:ind w:left="720" w:hanging="360"/>
      </w:pPr>
      <w:rPr>
        <w:rFonts w:ascii="Arial" w:hAnsi="Arial" w:hint="default"/>
      </w:rPr>
    </w:lvl>
    <w:lvl w:ilvl="1" w:tplc="82BE5932" w:tentative="1">
      <w:start w:val="1"/>
      <w:numFmt w:val="bullet"/>
      <w:lvlText w:val="●"/>
      <w:lvlJc w:val="left"/>
      <w:pPr>
        <w:tabs>
          <w:tab w:val="num" w:pos="1440"/>
        </w:tabs>
        <w:ind w:left="1440" w:hanging="360"/>
      </w:pPr>
      <w:rPr>
        <w:rFonts w:ascii="Arial" w:hAnsi="Arial" w:hint="default"/>
      </w:rPr>
    </w:lvl>
    <w:lvl w:ilvl="2" w:tplc="29087404" w:tentative="1">
      <w:start w:val="1"/>
      <w:numFmt w:val="bullet"/>
      <w:lvlText w:val="●"/>
      <w:lvlJc w:val="left"/>
      <w:pPr>
        <w:tabs>
          <w:tab w:val="num" w:pos="2160"/>
        </w:tabs>
        <w:ind w:left="2160" w:hanging="360"/>
      </w:pPr>
      <w:rPr>
        <w:rFonts w:ascii="Arial" w:hAnsi="Arial" w:hint="default"/>
      </w:rPr>
    </w:lvl>
    <w:lvl w:ilvl="3" w:tplc="18D4DDDA" w:tentative="1">
      <w:start w:val="1"/>
      <w:numFmt w:val="bullet"/>
      <w:lvlText w:val="●"/>
      <w:lvlJc w:val="left"/>
      <w:pPr>
        <w:tabs>
          <w:tab w:val="num" w:pos="2880"/>
        </w:tabs>
        <w:ind w:left="2880" w:hanging="360"/>
      </w:pPr>
      <w:rPr>
        <w:rFonts w:ascii="Arial" w:hAnsi="Arial" w:hint="default"/>
      </w:rPr>
    </w:lvl>
    <w:lvl w:ilvl="4" w:tplc="8E3E4A08" w:tentative="1">
      <w:start w:val="1"/>
      <w:numFmt w:val="bullet"/>
      <w:lvlText w:val="●"/>
      <w:lvlJc w:val="left"/>
      <w:pPr>
        <w:tabs>
          <w:tab w:val="num" w:pos="3600"/>
        </w:tabs>
        <w:ind w:left="3600" w:hanging="360"/>
      </w:pPr>
      <w:rPr>
        <w:rFonts w:ascii="Arial" w:hAnsi="Arial" w:hint="default"/>
      </w:rPr>
    </w:lvl>
    <w:lvl w:ilvl="5" w:tplc="91E20B90" w:tentative="1">
      <w:start w:val="1"/>
      <w:numFmt w:val="bullet"/>
      <w:lvlText w:val="●"/>
      <w:lvlJc w:val="left"/>
      <w:pPr>
        <w:tabs>
          <w:tab w:val="num" w:pos="4320"/>
        </w:tabs>
        <w:ind w:left="4320" w:hanging="360"/>
      </w:pPr>
      <w:rPr>
        <w:rFonts w:ascii="Arial" w:hAnsi="Arial" w:hint="default"/>
      </w:rPr>
    </w:lvl>
    <w:lvl w:ilvl="6" w:tplc="E326E5F4" w:tentative="1">
      <w:start w:val="1"/>
      <w:numFmt w:val="bullet"/>
      <w:lvlText w:val="●"/>
      <w:lvlJc w:val="left"/>
      <w:pPr>
        <w:tabs>
          <w:tab w:val="num" w:pos="5040"/>
        </w:tabs>
        <w:ind w:left="5040" w:hanging="360"/>
      </w:pPr>
      <w:rPr>
        <w:rFonts w:ascii="Arial" w:hAnsi="Arial" w:hint="default"/>
      </w:rPr>
    </w:lvl>
    <w:lvl w:ilvl="7" w:tplc="6C72CF12" w:tentative="1">
      <w:start w:val="1"/>
      <w:numFmt w:val="bullet"/>
      <w:lvlText w:val="●"/>
      <w:lvlJc w:val="left"/>
      <w:pPr>
        <w:tabs>
          <w:tab w:val="num" w:pos="5760"/>
        </w:tabs>
        <w:ind w:left="5760" w:hanging="360"/>
      </w:pPr>
      <w:rPr>
        <w:rFonts w:ascii="Arial" w:hAnsi="Arial" w:hint="default"/>
      </w:rPr>
    </w:lvl>
    <w:lvl w:ilvl="8" w:tplc="6EE831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771718"/>
    <w:multiLevelType w:val="hybridMultilevel"/>
    <w:tmpl w:val="75280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77426"/>
    <w:multiLevelType w:val="hybridMultilevel"/>
    <w:tmpl w:val="589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87AC4"/>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00D04"/>
    <w:multiLevelType w:val="hybridMultilevel"/>
    <w:tmpl w:val="14E8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73D7F"/>
    <w:multiLevelType w:val="hybridMultilevel"/>
    <w:tmpl w:val="D1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84F1E"/>
    <w:multiLevelType w:val="hybridMultilevel"/>
    <w:tmpl w:val="EB50F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F31707"/>
    <w:multiLevelType w:val="hybridMultilevel"/>
    <w:tmpl w:val="5B3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76F3A"/>
    <w:multiLevelType w:val="hybridMultilevel"/>
    <w:tmpl w:val="9E8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665ED"/>
    <w:multiLevelType w:val="hybridMultilevel"/>
    <w:tmpl w:val="1826AB52"/>
    <w:lvl w:ilvl="0" w:tplc="DC8800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64B3F"/>
    <w:multiLevelType w:val="hybridMultilevel"/>
    <w:tmpl w:val="50949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D34EFF"/>
    <w:multiLevelType w:val="hybridMultilevel"/>
    <w:tmpl w:val="9A0E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96623A"/>
    <w:multiLevelType w:val="hybridMultilevel"/>
    <w:tmpl w:val="1C6A6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5025E"/>
    <w:multiLevelType w:val="hybridMultilevel"/>
    <w:tmpl w:val="2332B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2A5578"/>
    <w:multiLevelType w:val="hybridMultilevel"/>
    <w:tmpl w:val="26EC8A6C"/>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20B8A"/>
    <w:multiLevelType w:val="hybridMultilevel"/>
    <w:tmpl w:val="6E0654E4"/>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20BE2"/>
    <w:multiLevelType w:val="hybridMultilevel"/>
    <w:tmpl w:val="0170893C"/>
    <w:lvl w:ilvl="0" w:tplc="5F1AF0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722FA"/>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F76EE4"/>
    <w:multiLevelType w:val="hybridMultilevel"/>
    <w:tmpl w:val="60086B82"/>
    <w:lvl w:ilvl="0" w:tplc="C22A47C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18"/>
  </w:num>
  <w:num w:numId="4">
    <w:abstractNumId w:val="7"/>
  </w:num>
  <w:num w:numId="5">
    <w:abstractNumId w:val="8"/>
  </w:num>
  <w:num w:numId="6">
    <w:abstractNumId w:val="12"/>
  </w:num>
  <w:num w:numId="7">
    <w:abstractNumId w:val="11"/>
  </w:num>
  <w:num w:numId="8">
    <w:abstractNumId w:val="9"/>
  </w:num>
  <w:num w:numId="9">
    <w:abstractNumId w:val="10"/>
  </w:num>
  <w:num w:numId="10">
    <w:abstractNumId w:val="19"/>
  </w:num>
  <w:num w:numId="11">
    <w:abstractNumId w:val="32"/>
  </w:num>
  <w:num w:numId="12">
    <w:abstractNumId w:val="28"/>
  </w:num>
  <w:num w:numId="13">
    <w:abstractNumId w:val="13"/>
  </w:num>
  <w:num w:numId="14">
    <w:abstractNumId w:val="16"/>
  </w:num>
  <w:num w:numId="15">
    <w:abstractNumId w:val="21"/>
  </w:num>
  <w:num w:numId="16">
    <w:abstractNumId w:val="0"/>
  </w:num>
  <w:num w:numId="17">
    <w:abstractNumId w:val="27"/>
  </w:num>
  <w:num w:numId="18">
    <w:abstractNumId w:val="26"/>
  </w:num>
  <w:num w:numId="19">
    <w:abstractNumId w:val="17"/>
  </w:num>
  <w:num w:numId="20">
    <w:abstractNumId w:val="23"/>
  </w:num>
  <w:num w:numId="21">
    <w:abstractNumId w:val="22"/>
  </w:num>
  <w:num w:numId="22">
    <w:abstractNumId w:val="20"/>
  </w:num>
  <w:num w:numId="23">
    <w:abstractNumId w:val="24"/>
  </w:num>
  <w:num w:numId="24">
    <w:abstractNumId w:val="4"/>
  </w:num>
  <w:num w:numId="25">
    <w:abstractNumId w:val="3"/>
  </w:num>
  <w:num w:numId="26">
    <w:abstractNumId w:val="29"/>
  </w:num>
  <w:num w:numId="27">
    <w:abstractNumId w:val="15"/>
  </w:num>
  <w:num w:numId="28">
    <w:abstractNumId w:val="2"/>
  </w:num>
  <w:num w:numId="29">
    <w:abstractNumId w:val="14"/>
  </w:num>
  <w:num w:numId="30">
    <w:abstractNumId w:val="6"/>
  </w:num>
  <w:num w:numId="31">
    <w:abstractNumId w:val="25"/>
  </w:num>
  <w:num w:numId="32">
    <w:abstractNumId w:val="33"/>
  </w:num>
  <w:num w:numId="33">
    <w:abstractNumId w:val="5"/>
  </w:num>
  <w:num w:numId="34">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01FEC"/>
    <w:rsid w:val="000041E9"/>
    <w:rsid w:val="00004B5D"/>
    <w:rsid w:val="00005AE2"/>
    <w:rsid w:val="0000720B"/>
    <w:rsid w:val="00024C51"/>
    <w:rsid w:val="000338D6"/>
    <w:rsid w:val="00034DE7"/>
    <w:rsid w:val="000369F8"/>
    <w:rsid w:val="00045800"/>
    <w:rsid w:val="00047B22"/>
    <w:rsid w:val="00053D62"/>
    <w:rsid w:val="00062954"/>
    <w:rsid w:val="000670BC"/>
    <w:rsid w:val="00071C22"/>
    <w:rsid w:val="00073CBA"/>
    <w:rsid w:val="0007483E"/>
    <w:rsid w:val="00080308"/>
    <w:rsid w:val="00084612"/>
    <w:rsid w:val="00087249"/>
    <w:rsid w:val="00090469"/>
    <w:rsid w:val="00093DC8"/>
    <w:rsid w:val="000A7428"/>
    <w:rsid w:val="000B35E2"/>
    <w:rsid w:val="000B3776"/>
    <w:rsid w:val="000B6AB7"/>
    <w:rsid w:val="000B6B4B"/>
    <w:rsid w:val="000B7638"/>
    <w:rsid w:val="000B783A"/>
    <w:rsid w:val="000B7DF2"/>
    <w:rsid w:val="000C4D4D"/>
    <w:rsid w:val="000D1310"/>
    <w:rsid w:val="000D302A"/>
    <w:rsid w:val="000F293A"/>
    <w:rsid w:val="000F7A16"/>
    <w:rsid w:val="00104107"/>
    <w:rsid w:val="00104F97"/>
    <w:rsid w:val="001105DD"/>
    <w:rsid w:val="00117E82"/>
    <w:rsid w:val="00123547"/>
    <w:rsid w:val="00125F41"/>
    <w:rsid w:val="001312BB"/>
    <w:rsid w:val="00133BB6"/>
    <w:rsid w:val="00141E16"/>
    <w:rsid w:val="00145243"/>
    <w:rsid w:val="00147C79"/>
    <w:rsid w:val="0015019E"/>
    <w:rsid w:val="001547E5"/>
    <w:rsid w:val="00157690"/>
    <w:rsid w:val="00160C62"/>
    <w:rsid w:val="00166715"/>
    <w:rsid w:val="00167547"/>
    <w:rsid w:val="00175F1D"/>
    <w:rsid w:val="00181B74"/>
    <w:rsid w:val="001923A3"/>
    <w:rsid w:val="001B1993"/>
    <w:rsid w:val="001B4681"/>
    <w:rsid w:val="001C7008"/>
    <w:rsid w:val="001C7229"/>
    <w:rsid w:val="001D18C6"/>
    <w:rsid w:val="001D5FA5"/>
    <w:rsid w:val="001E3BA5"/>
    <w:rsid w:val="001E7442"/>
    <w:rsid w:val="00204D72"/>
    <w:rsid w:val="0020728A"/>
    <w:rsid w:val="00207A18"/>
    <w:rsid w:val="00226E8F"/>
    <w:rsid w:val="00234855"/>
    <w:rsid w:val="00241403"/>
    <w:rsid w:val="00242682"/>
    <w:rsid w:val="00243649"/>
    <w:rsid w:val="00243DCB"/>
    <w:rsid w:val="002476A5"/>
    <w:rsid w:val="00257AB7"/>
    <w:rsid w:val="00265C9D"/>
    <w:rsid w:val="002811D0"/>
    <w:rsid w:val="00283CC1"/>
    <w:rsid w:val="00284D68"/>
    <w:rsid w:val="00291DAE"/>
    <w:rsid w:val="002A3135"/>
    <w:rsid w:val="002B1DBB"/>
    <w:rsid w:val="002B4E44"/>
    <w:rsid w:val="002B6719"/>
    <w:rsid w:val="002C0FB0"/>
    <w:rsid w:val="002C515B"/>
    <w:rsid w:val="002D1804"/>
    <w:rsid w:val="002D232E"/>
    <w:rsid w:val="002D792F"/>
    <w:rsid w:val="002E52DE"/>
    <w:rsid w:val="002E67B5"/>
    <w:rsid w:val="002F0699"/>
    <w:rsid w:val="002F2C52"/>
    <w:rsid w:val="002F77EA"/>
    <w:rsid w:val="00300A83"/>
    <w:rsid w:val="00323CBD"/>
    <w:rsid w:val="003331D8"/>
    <w:rsid w:val="003333A3"/>
    <w:rsid w:val="00340B24"/>
    <w:rsid w:val="00371F3F"/>
    <w:rsid w:val="003872E7"/>
    <w:rsid w:val="00390A28"/>
    <w:rsid w:val="003A3EB1"/>
    <w:rsid w:val="003B63FE"/>
    <w:rsid w:val="003B76F8"/>
    <w:rsid w:val="003C2047"/>
    <w:rsid w:val="003D3A8F"/>
    <w:rsid w:val="003F645F"/>
    <w:rsid w:val="00400762"/>
    <w:rsid w:val="0040076B"/>
    <w:rsid w:val="00403150"/>
    <w:rsid w:val="00411BE9"/>
    <w:rsid w:val="00414C8E"/>
    <w:rsid w:val="004252B7"/>
    <w:rsid w:val="004257F6"/>
    <w:rsid w:val="004337BE"/>
    <w:rsid w:val="004367FC"/>
    <w:rsid w:val="004375BB"/>
    <w:rsid w:val="00441650"/>
    <w:rsid w:val="004449A9"/>
    <w:rsid w:val="00453046"/>
    <w:rsid w:val="0045392B"/>
    <w:rsid w:val="00476A3B"/>
    <w:rsid w:val="00482F9C"/>
    <w:rsid w:val="004B17F0"/>
    <w:rsid w:val="004B27CB"/>
    <w:rsid w:val="004C5BB7"/>
    <w:rsid w:val="004E2994"/>
    <w:rsid w:val="004E4C58"/>
    <w:rsid w:val="004E6F4A"/>
    <w:rsid w:val="004E70AF"/>
    <w:rsid w:val="004F0B80"/>
    <w:rsid w:val="004F5866"/>
    <w:rsid w:val="005123E6"/>
    <w:rsid w:val="00517D72"/>
    <w:rsid w:val="00517F0F"/>
    <w:rsid w:val="00523EA2"/>
    <w:rsid w:val="00525682"/>
    <w:rsid w:val="0054560E"/>
    <w:rsid w:val="00560CCE"/>
    <w:rsid w:val="0056137C"/>
    <w:rsid w:val="00565D92"/>
    <w:rsid w:val="00576BA3"/>
    <w:rsid w:val="00580BF8"/>
    <w:rsid w:val="0058661B"/>
    <w:rsid w:val="00590C90"/>
    <w:rsid w:val="005A6DBF"/>
    <w:rsid w:val="005B442B"/>
    <w:rsid w:val="005B68CE"/>
    <w:rsid w:val="005D1846"/>
    <w:rsid w:val="00601754"/>
    <w:rsid w:val="006121AB"/>
    <w:rsid w:val="00627565"/>
    <w:rsid w:val="00627BED"/>
    <w:rsid w:val="00633A02"/>
    <w:rsid w:val="00652686"/>
    <w:rsid w:val="006561D8"/>
    <w:rsid w:val="00657E8E"/>
    <w:rsid w:val="00660CB3"/>
    <w:rsid w:val="006636EC"/>
    <w:rsid w:val="00681BF6"/>
    <w:rsid w:val="00684379"/>
    <w:rsid w:val="00684A49"/>
    <w:rsid w:val="0069037B"/>
    <w:rsid w:val="006910FC"/>
    <w:rsid w:val="0069512A"/>
    <w:rsid w:val="006A15E8"/>
    <w:rsid w:val="006A2145"/>
    <w:rsid w:val="006A605A"/>
    <w:rsid w:val="006A736B"/>
    <w:rsid w:val="006B2800"/>
    <w:rsid w:val="006B7246"/>
    <w:rsid w:val="006C631F"/>
    <w:rsid w:val="006D0C0A"/>
    <w:rsid w:val="006F3F7A"/>
    <w:rsid w:val="006F4570"/>
    <w:rsid w:val="006F7366"/>
    <w:rsid w:val="007120A7"/>
    <w:rsid w:val="00713367"/>
    <w:rsid w:val="007146F0"/>
    <w:rsid w:val="0071561B"/>
    <w:rsid w:val="00720511"/>
    <w:rsid w:val="00727E21"/>
    <w:rsid w:val="00731ECF"/>
    <w:rsid w:val="00742D07"/>
    <w:rsid w:val="0075350D"/>
    <w:rsid w:val="00760544"/>
    <w:rsid w:val="00763B56"/>
    <w:rsid w:val="00764B5D"/>
    <w:rsid w:val="007658AC"/>
    <w:rsid w:val="0077047D"/>
    <w:rsid w:val="00770E6E"/>
    <w:rsid w:val="007738E4"/>
    <w:rsid w:val="0077633D"/>
    <w:rsid w:val="00783286"/>
    <w:rsid w:val="00785C6A"/>
    <w:rsid w:val="007949AE"/>
    <w:rsid w:val="00794D5E"/>
    <w:rsid w:val="00797890"/>
    <w:rsid w:val="007B2735"/>
    <w:rsid w:val="007B354B"/>
    <w:rsid w:val="007B3B82"/>
    <w:rsid w:val="007C01AF"/>
    <w:rsid w:val="007C1B15"/>
    <w:rsid w:val="007C7128"/>
    <w:rsid w:val="007F54A6"/>
    <w:rsid w:val="007F64A1"/>
    <w:rsid w:val="00805346"/>
    <w:rsid w:val="00805F2D"/>
    <w:rsid w:val="00813B49"/>
    <w:rsid w:val="00814479"/>
    <w:rsid w:val="00833AB7"/>
    <w:rsid w:val="00833F20"/>
    <w:rsid w:val="00837098"/>
    <w:rsid w:val="00837C38"/>
    <w:rsid w:val="00850473"/>
    <w:rsid w:val="00850774"/>
    <w:rsid w:val="00854666"/>
    <w:rsid w:val="00854AE1"/>
    <w:rsid w:val="00856E11"/>
    <w:rsid w:val="008623BE"/>
    <w:rsid w:val="00862F9C"/>
    <w:rsid w:val="00880AA2"/>
    <w:rsid w:val="0088753B"/>
    <w:rsid w:val="008945A5"/>
    <w:rsid w:val="008A0BE8"/>
    <w:rsid w:val="008A3CC4"/>
    <w:rsid w:val="008A4A0E"/>
    <w:rsid w:val="008A696B"/>
    <w:rsid w:val="008B121C"/>
    <w:rsid w:val="008B3349"/>
    <w:rsid w:val="008B34C0"/>
    <w:rsid w:val="008B3CCB"/>
    <w:rsid w:val="008C4BAD"/>
    <w:rsid w:val="008D1397"/>
    <w:rsid w:val="008D45F8"/>
    <w:rsid w:val="008D4B7A"/>
    <w:rsid w:val="008E7FB2"/>
    <w:rsid w:val="008F54EB"/>
    <w:rsid w:val="008F5C21"/>
    <w:rsid w:val="00900B65"/>
    <w:rsid w:val="00902983"/>
    <w:rsid w:val="00905365"/>
    <w:rsid w:val="009127BA"/>
    <w:rsid w:val="00912E44"/>
    <w:rsid w:val="00913951"/>
    <w:rsid w:val="00913A7E"/>
    <w:rsid w:val="009204F1"/>
    <w:rsid w:val="00924401"/>
    <w:rsid w:val="009324CD"/>
    <w:rsid w:val="00933DEB"/>
    <w:rsid w:val="00933EA4"/>
    <w:rsid w:val="00935EC6"/>
    <w:rsid w:val="00936A6B"/>
    <w:rsid w:val="00937EE7"/>
    <w:rsid w:val="00942DF7"/>
    <w:rsid w:val="00950165"/>
    <w:rsid w:val="0095466D"/>
    <w:rsid w:val="00960C24"/>
    <w:rsid w:val="00966702"/>
    <w:rsid w:val="00972CB3"/>
    <w:rsid w:val="0098010D"/>
    <w:rsid w:val="00981923"/>
    <w:rsid w:val="009869E8"/>
    <w:rsid w:val="0098781A"/>
    <w:rsid w:val="0099380A"/>
    <w:rsid w:val="0099601A"/>
    <w:rsid w:val="009B10CF"/>
    <w:rsid w:val="009B3177"/>
    <w:rsid w:val="009B5309"/>
    <w:rsid w:val="009D75FF"/>
    <w:rsid w:val="009E0CE2"/>
    <w:rsid w:val="009E0D52"/>
    <w:rsid w:val="009E2396"/>
    <w:rsid w:val="009E6D2F"/>
    <w:rsid w:val="009F353C"/>
    <w:rsid w:val="00A16636"/>
    <w:rsid w:val="00A20152"/>
    <w:rsid w:val="00A34A5B"/>
    <w:rsid w:val="00A35C65"/>
    <w:rsid w:val="00A36FA0"/>
    <w:rsid w:val="00A4083B"/>
    <w:rsid w:val="00A5731F"/>
    <w:rsid w:val="00A65F24"/>
    <w:rsid w:val="00A72A86"/>
    <w:rsid w:val="00A808B9"/>
    <w:rsid w:val="00A83E41"/>
    <w:rsid w:val="00A83F97"/>
    <w:rsid w:val="00A867CE"/>
    <w:rsid w:val="00A935A0"/>
    <w:rsid w:val="00A97B6F"/>
    <w:rsid w:val="00AA0665"/>
    <w:rsid w:val="00AA15ED"/>
    <w:rsid w:val="00AA6A7F"/>
    <w:rsid w:val="00AB0D08"/>
    <w:rsid w:val="00AC41AD"/>
    <w:rsid w:val="00AC6FE9"/>
    <w:rsid w:val="00AC7E73"/>
    <w:rsid w:val="00AD165E"/>
    <w:rsid w:val="00AD654F"/>
    <w:rsid w:val="00AD6A23"/>
    <w:rsid w:val="00AD7046"/>
    <w:rsid w:val="00AD7807"/>
    <w:rsid w:val="00B02248"/>
    <w:rsid w:val="00B02855"/>
    <w:rsid w:val="00B07AD3"/>
    <w:rsid w:val="00B16F28"/>
    <w:rsid w:val="00B25218"/>
    <w:rsid w:val="00B2686D"/>
    <w:rsid w:val="00B343C2"/>
    <w:rsid w:val="00B41202"/>
    <w:rsid w:val="00B4472F"/>
    <w:rsid w:val="00B50EA9"/>
    <w:rsid w:val="00B51B68"/>
    <w:rsid w:val="00B62773"/>
    <w:rsid w:val="00B74730"/>
    <w:rsid w:val="00B75CCE"/>
    <w:rsid w:val="00B83C15"/>
    <w:rsid w:val="00B86213"/>
    <w:rsid w:val="00B91B33"/>
    <w:rsid w:val="00B97CFE"/>
    <w:rsid w:val="00BA1F2A"/>
    <w:rsid w:val="00BB36EE"/>
    <w:rsid w:val="00BB4E00"/>
    <w:rsid w:val="00BC0C10"/>
    <w:rsid w:val="00BC104D"/>
    <w:rsid w:val="00BC24CF"/>
    <w:rsid w:val="00BC32E9"/>
    <w:rsid w:val="00BC37FC"/>
    <w:rsid w:val="00BC55F4"/>
    <w:rsid w:val="00BD1C2B"/>
    <w:rsid w:val="00BD306D"/>
    <w:rsid w:val="00BD582E"/>
    <w:rsid w:val="00BD5A1D"/>
    <w:rsid w:val="00BD5CE0"/>
    <w:rsid w:val="00BE3F50"/>
    <w:rsid w:val="00BE7E56"/>
    <w:rsid w:val="00C0110D"/>
    <w:rsid w:val="00C1701A"/>
    <w:rsid w:val="00C34336"/>
    <w:rsid w:val="00C44B02"/>
    <w:rsid w:val="00C44BA0"/>
    <w:rsid w:val="00C5601F"/>
    <w:rsid w:val="00C70DC4"/>
    <w:rsid w:val="00C767E4"/>
    <w:rsid w:val="00C81275"/>
    <w:rsid w:val="00C82CE4"/>
    <w:rsid w:val="00C84A7B"/>
    <w:rsid w:val="00C86422"/>
    <w:rsid w:val="00C87458"/>
    <w:rsid w:val="00C9139F"/>
    <w:rsid w:val="00C976DF"/>
    <w:rsid w:val="00CA33B9"/>
    <w:rsid w:val="00CA3FE3"/>
    <w:rsid w:val="00CA61C6"/>
    <w:rsid w:val="00CB4B10"/>
    <w:rsid w:val="00CB74FA"/>
    <w:rsid w:val="00CC68C7"/>
    <w:rsid w:val="00CD4D9F"/>
    <w:rsid w:val="00CE50BA"/>
    <w:rsid w:val="00CF3BA7"/>
    <w:rsid w:val="00D01899"/>
    <w:rsid w:val="00D05126"/>
    <w:rsid w:val="00D064DB"/>
    <w:rsid w:val="00D1325C"/>
    <w:rsid w:val="00D15169"/>
    <w:rsid w:val="00D1763F"/>
    <w:rsid w:val="00D27B0F"/>
    <w:rsid w:val="00D372F6"/>
    <w:rsid w:val="00D45D0D"/>
    <w:rsid w:val="00D45E4E"/>
    <w:rsid w:val="00D54DE2"/>
    <w:rsid w:val="00D64E74"/>
    <w:rsid w:val="00D73480"/>
    <w:rsid w:val="00D8625D"/>
    <w:rsid w:val="00D902EA"/>
    <w:rsid w:val="00D95D15"/>
    <w:rsid w:val="00DA3452"/>
    <w:rsid w:val="00DB7326"/>
    <w:rsid w:val="00DC2255"/>
    <w:rsid w:val="00DC3919"/>
    <w:rsid w:val="00DC50C6"/>
    <w:rsid w:val="00DD2502"/>
    <w:rsid w:val="00DD7031"/>
    <w:rsid w:val="00DE6F0A"/>
    <w:rsid w:val="00DF2BE7"/>
    <w:rsid w:val="00E038CE"/>
    <w:rsid w:val="00E05925"/>
    <w:rsid w:val="00E06D03"/>
    <w:rsid w:val="00E0781A"/>
    <w:rsid w:val="00E12483"/>
    <w:rsid w:val="00E20818"/>
    <w:rsid w:val="00E22563"/>
    <w:rsid w:val="00E303C9"/>
    <w:rsid w:val="00E3635C"/>
    <w:rsid w:val="00E40077"/>
    <w:rsid w:val="00E60C42"/>
    <w:rsid w:val="00E62CE0"/>
    <w:rsid w:val="00E67487"/>
    <w:rsid w:val="00E707BC"/>
    <w:rsid w:val="00E7272F"/>
    <w:rsid w:val="00E75152"/>
    <w:rsid w:val="00E758F8"/>
    <w:rsid w:val="00E7782D"/>
    <w:rsid w:val="00E868EF"/>
    <w:rsid w:val="00E91D52"/>
    <w:rsid w:val="00EA001E"/>
    <w:rsid w:val="00EA7CFE"/>
    <w:rsid w:val="00EB17A3"/>
    <w:rsid w:val="00EB1D0B"/>
    <w:rsid w:val="00EB7559"/>
    <w:rsid w:val="00ED731A"/>
    <w:rsid w:val="00ED7C10"/>
    <w:rsid w:val="00F024A2"/>
    <w:rsid w:val="00F044AE"/>
    <w:rsid w:val="00F13177"/>
    <w:rsid w:val="00F165EC"/>
    <w:rsid w:val="00F2724D"/>
    <w:rsid w:val="00F4231E"/>
    <w:rsid w:val="00F42F53"/>
    <w:rsid w:val="00F50293"/>
    <w:rsid w:val="00F700F1"/>
    <w:rsid w:val="00F831AB"/>
    <w:rsid w:val="00F876D7"/>
    <w:rsid w:val="00F90677"/>
    <w:rsid w:val="00FA0618"/>
    <w:rsid w:val="00FA06FF"/>
    <w:rsid w:val="00FB05A7"/>
    <w:rsid w:val="00FB4925"/>
    <w:rsid w:val="00FB4CB1"/>
    <w:rsid w:val="00FC161C"/>
    <w:rsid w:val="00FC5CEA"/>
    <w:rsid w:val="00FD0854"/>
    <w:rsid w:val="00FD60BA"/>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C8C7F"/>
  <w15:docId w15:val="{CB1D4465-81E4-4B46-8D92-4EACF6B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d-none">
    <w:name w:val="d-none"/>
    <w:basedOn w:val="DefaultParagraphFont"/>
    <w:rsid w:val="004F5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9944855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37113189">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257913632">
      <w:bodyDiv w:val="1"/>
      <w:marLeft w:val="0"/>
      <w:marRight w:val="0"/>
      <w:marTop w:val="0"/>
      <w:marBottom w:val="0"/>
      <w:divBdr>
        <w:top w:val="none" w:sz="0" w:space="0" w:color="auto"/>
        <w:left w:val="none" w:sz="0" w:space="0" w:color="auto"/>
        <w:bottom w:val="none" w:sz="0" w:space="0" w:color="auto"/>
        <w:right w:val="none" w:sz="0" w:space="0" w:color="auto"/>
      </w:divBdr>
    </w:div>
    <w:div w:id="29576825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759861">
      <w:bodyDiv w:val="1"/>
      <w:marLeft w:val="0"/>
      <w:marRight w:val="0"/>
      <w:marTop w:val="0"/>
      <w:marBottom w:val="0"/>
      <w:divBdr>
        <w:top w:val="none" w:sz="0" w:space="0" w:color="auto"/>
        <w:left w:val="none" w:sz="0" w:space="0" w:color="auto"/>
        <w:bottom w:val="none" w:sz="0" w:space="0" w:color="auto"/>
        <w:right w:val="none" w:sz="0" w:space="0" w:color="auto"/>
      </w:divBdr>
      <w:divsChild>
        <w:div w:id="739788042">
          <w:marLeft w:val="547"/>
          <w:marRight w:val="0"/>
          <w:marTop w:val="115"/>
          <w:marBottom w:val="0"/>
          <w:divBdr>
            <w:top w:val="none" w:sz="0" w:space="0" w:color="auto"/>
            <w:left w:val="none" w:sz="0" w:space="0" w:color="auto"/>
            <w:bottom w:val="none" w:sz="0" w:space="0" w:color="auto"/>
            <w:right w:val="none" w:sz="0" w:space="0" w:color="auto"/>
          </w:divBdr>
        </w:div>
        <w:div w:id="1399396639">
          <w:marLeft w:val="547"/>
          <w:marRight w:val="0"/>
          <w:marTop w:val="115"/>
          <w:marBottom w:val="0"/>
          <w:divBdr>
            <w:top w:val="none" w:sz="0" w:space="0" w:color="auto"/>
            <w:left w:val="none" w:sz="0" w:space="0" w:color="auto"/>
            <w:bottom w:val="none" w:sz="0" w:space="0" w:color="auto"/>
            <w:right w:val="none" w:sz="0" w:space="0" w:color="auto"/>
          </w:divBdr>
        </w:div>
        <w:div w:id="521893487">
          <w:marLeft w:val="547"/>
          <w:marRight w:val="0"/>
          <w:marTop w:val="115"/>
          <w:marBottom w:val="0"/>
          <w:divBdr>
            <w:top w:val="none" w:sz="0" w:space="0" w:color="auto"/>
            <w:left w:val="none" w:sz="0" w:space="0" w:color="auto"/>
            <w:bottom w:val="none" w:sz="0" w:space="0" w:color="auto"/>
            <w:right w:val="none" w:sz="0" w:space="0" w:color="auto"/>
          </w:divBdr>
        </w:div>
        <w:div w:id="410741331">
          <w:marLeft w:val="547"/>
          <w:marRight w:val="0"/>
          <w:marTop w:val="115"/>
          <w:marBottom w:val="0"/>
          <w:divBdr>
            <w:top w:val="none" w:sz="0" w:space="0" w:color="auto"/>
            <w:left w:val="none" w:sz="0" w:space="0" w:color="auto"/>
            <w:bottom w:val="none" w:sz="0" w:space="0" w:color="auto"/>
            <w:right w:val="none" w:sz="0" w:space="0" w:color="auto"/>
          </w:divBdr>
        </w:div>
        <w:div w:id="659887183">
          <w:marLeft w:val="547"/>
          <w:marRight w:val="0"/>
          <w:marTop w:val="115"/>
          <w:marBottom w:val="0"/>
          <w:divBdr>
            <w:top w:val="none" w:sz="0" w:space="0" w:color="auto"/>
            <w:left w:val="none" w:sz="0" w:space="0" w:color="auto"/>
            <w:bottom w:val="none" w:sz="0" w:space="0" w:color="auto"/>
            <w:right w:val="none" w:sz="0" w:space="0" w:color="auto"/>
          </w:divBdr>
        </w:div>
      </w:divsChild>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21604018">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469597921">
      <w:bodyDiv w:val="1"/>
      <w:marLeft w:val="0"/>
      <w:marRight w:val="0"/>
      <w:marTop w:val="0"/>
      <w:marBottom w:val="0"/>
      <w:divBdr>
        <w:top w:val="none" w:sz="0" w:space="0" w:color="auto"/>
        <w:left w:val="none" w:sz="0" w:space="0" w:color="auto"/>
        <w:bottom w:val="none" w:sz="0" w:space="0" w:color="auto"/>
        <w:right w:val="none" w:sz="0" w:space="0" w:color="auto"/>
      </w:divBdr>
    </w:div>
    <w:div w:id="472597804">
      <w:bodyDiv w:val="1"/>
      <w:marLeft w:val="0"/>
      <w:marRight w:val="0"/>
      <w:marTop w:val="0"/>
      <w:marBottom w:val="0"/>
      <w:divBdr>
        <w:top w:val="none" w:sz="0" w:space="0" w:color="auto"/>
        <w:left w:val="none" w:sz="0" w:space="0" w:color="auto"/>
        <w:bottom w:val="none" w:sz="0" w:space="0" w:color="auto"/>
        <w:right w:val="none" w:sz="0" w:space="0" w:color="auto"/>
      </w:divBdr>
    </w:div>
    <w:div w:id="495346633">
      <w:bodyDiv w:val="1"/>
      <w:marLeft w:val="0"/>
      <w:marRight w:val="0"/>
      <w:marTop w:val="0"/>
      <w:marBottom w:val="0"/>
      <w:divBdr>
        <w:top w:val="none" w:sz="0" w:space="0" w:color="auto"/>
        <w:left w:val="none" w:sz="0" w:space="0" w:color="auto"/>
        <w:bottom w:val="none" w:sz="0" w:space="0" w:color="auto"/>
        <w:right w:val="none" w:sz="0" w:space="0" w:color="auto"/>
      </w:divBdr>
    </w:div>
    <w:div w:id="523593680">
      <w:bodyDiv w:val="1"/>
      <w:marLeft w:val="0"/>
      <w:marRight w:val="0"/>
      <w:marTop w:val="0"/>
      <w:marBottom w:val="0"/>
      <w:divBdr>
        <w:top w:val="none" w:sz="0" w:space="0" w:color="auto"/>
        <w:left w:val="none" w:sz="0" w:space="0" w:color="auto"/>
        <w:bottom w:val="none" w:sz="0" w:space="0" w:color="auto"/>
        <w:right w:val="none" w:sz="0" w:space="0" w:color="auto"/>
      </w:divBdr>
    </w:div>
    <w:div w:id="55242382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44032606">
      <w:bodyDiv w:val="1"/>
      <w:marLeft w:val="0"/>
      <w:marRight w:val="0"/>
      <w:marTop w:val="0"/>
      <w:marBottom w:val="0"/>
      <w:divBdr>
        <w:top w:val="none" w:sz="0" w:space="0" w:color="auto"/>
        <w:left w:val="none" w:sz="0" w:space="0" w:color="auto"/>
        <w:bottom w:val="none" w:sz="0" w:space="0" w:color="auto"/>
        <w:right w:val="none" w:sz="0" w:space="0" w:color="auto"/>
      </w:divBdr>
    </w:div>
    <w:div w:id="752092992">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47910862">
      <w:bodyDiv w:val="1"/>
      <w:marLeft w:val="0"/>
      <w:marRight w:val="0"/>
      <w:marTop w:val="0"/>
      <w:marBottom w:val="0"/>
      <w:divBdr>
        <w:top w:val="none" w:sz="0" w:space="0" w:color="auto"/>
        <w:left w:val="none" w:sz="0" w:space="0" w:color="auto"/>
        <w:bottom w:val="none" w:sz="0" w:space="0" w:color="auto"/>
        <w:right w:val="none" w:sz="0" w:space="0" w:color="auto"/>
      </w:divBdr>
    </w:div>
    <w:div w:id="857888460">
      <w:bodyDiv w:val="1"/>
      <w:marLeft w:val="0"/>
      <w:marRight w:val="0"/>
      <w:marTop w:val="0"/>
      <w:marBottom w:val="0"/>
      <w:divBdr>
        <w:top w:val="none" w:sz="0" w:space="0" w:color="auto"/>
        <w:left w:val="none" w:sz="0" w:space="0" w:color="auto"/>
        <w:bottom w:val="none" w:sz="0" w:space="0" w:color="auto"/>
        <w:right w:val="none" w:sz="0" w:space="0" w:color="auto"/>
      </w:divBdr>
    </w:div>
    <w:div w:id="865408165">
      <w:bodyDiv w:val="1"/>
      <w:marLeft w:val="0"/>
      <w:marRight w:val="0"/>
      <w:marTop w:val="0"/>
      <w:marBottom w:val="0"/>
      <w:divBdr>
        <w:top w:val="none" w:sz="0" w:space="0" w:color="auto"/>
        <w:left w:val="none" w:sz="0" w:space="0" w:color="auto"/>
        <w:bottom w:val="none" w:sz="0" w:space="0" w:color="auto"/>
        <w:right w:val="none" w:sz="0" w:space="0" w:color="auto"/>
      </w:divBdr>
    </w:div>
    <w:div w:id="880366627">
      <w:bodyDiv w:val="1"/>
      <w:marLeft w:val="0"/>
      <w:marRight w:val="0"/>
      <w:marTop w:val="0"/>
      <w:marBottom w:val="0"/>
      <w:divBdr>
        <w:top w:val="none" w:sz="0" w:space="0" w:color="auto"/>
        <w:left w:val="none" w:sz="0" w:space="0" w:color="auto"/>
        <w:bottom w:val="none" w:sz="0" w:space="0" w:color="auto"/>
        <w:right w:val="none" w:sz="0" w:space="0" w:color="auto"/>
      </w:divBdr>
    </w:div>
    <w:div w:id="881554294">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57763751">
      <w:bodyDiv w:val="1"/>
      <w:marLeft w:val="0"/>
      <w:marRight w:val="0"/>
      <w:marTop w:val="0"/>
      <w:marBottom w:val="0"/>
      <w:divBdr>
        <w:top w:val="none" w:sz="0" w:space="0" w:color="auto"/>
        <w:left w:val="none" w:sz="0" w:space="0" w:color="auto"/>
        <w:bottom w:val="none" w:sz="0" w:space="0" w:color="auto"/>
        <w:right w:val="none" w:sz="0" w:space="0" w:color="auto"/>
      </w:divBdr>
    </w:div>
    <w:div w:id="984312831">
      <w:bodyDiv w:val="1"/>
      <w:marLeft w:val="0"/>
      <w:marRight w:val="0"/>
      <w:marTop w:val="0"/>
      <w:marBottom w:val="0"/>
      <w:divBdr>
        <w:top w:val="none" w:sz="0" w:space="0" w:color="auto"/>
        <w:left w:val="none" w:sz="0" w:space="0" w:color="auto"/>
        <w:bottom w:val="none" w:sz="0" w:space="0" w:color="auto"/>
        <w:right w:val="none" w:sz="0" w:space="0" w:color="auto"/>
      </w:divBdr>
    </w:div>
    <w:div w:id="989678497">
      <w:bodyDiv w:val="1"/>
      <w:marLeft w:val="0"/>
      <w:marRight w:val="0"/>
      <w:marTop w:val="0"/>
      <w:marBottom w:val="0"/>
      <w:divBdr>
        <w:top w:val="none" w:sz="0" w:space="0" w:color="auto"/>
        <w:left w:val="none" w:sz="0" w:space="0" w:color="auto"/>
        <w:bottom w:val="none" w:sz="0" w:space="0" w:color="auto"/>
        <w:right w:val="none" w:sz="0" w:space="0" w:color="auto"/>
      </w:divBdr>
    </w:div>
    <w:div w:id="1001587581">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51686563">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09918093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51161058">
      <w:bodyDiv w:val="1"/>
      <w:marLeft w:val="0"/>
      <w:marRight w:val="0"/>
      <w:marTop w:val="0"/>
      <w:marBottom w:val="0"/>
      <w:divBdr>
        <w:top w:val="none" w:sz="0" w:space="0" w:color="auto"/>
        <w:left w:val="none" w:sz="0" w:space="0" w:color="auto"/>
        <w:bottom w:val="none" w:sz="0" w:space="0" w:color="auto"/>
        <w:right w:val="none" w:sz="0" w:space="0" w:color="auto"/>
      </w:divBdr>
    </w:div>
    <w:div w:id="1264071532">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 w:id="1320963018">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29498377">
      <w:bodyDiv w:val="1"/>
      <w:marLeft w:val="0"/>
      <w:marRight w:val="0"/>
      <w:marTop w:val="0"/>
      <w:marBottom w:val="0"/>
      <w:divBdr>
        <w:top w:val="none" w:sz="0" w:space="0" w:color="auto"/>
        <w:left w:val="none" w:sz="0" w:space="0" w:color="auto"/>
        <w:bottom w:val="none" w:sz="0" w:space="0" w:color="auto"/>
        <w:right w:val="none" w:sz="0" w:space="0" w:color="auto"/>
      </w:divBdr>
    </w:div>
    <w:div w:id="1452282647">
      <w:bodyDiv w:val="1"/>
      <w:marLeft w:val="0"/>
      <w:marRight w:val="0"/>
      <w:marTop w:val="0"/>
      <w:marBottom w:val="0"/>
      <w:divBdr>
        <w:top w:val="none" w:sz="0" w:space="0" w:color="auto"/>
        <w:left w:val="none" w:sz="0" w:space="0" w:color="auto"/>
        <w:bottom w:val="none" w:sz="0" w:space="0" w:color="auto"/>
        <w:right w:val="none" w:sz="0" w:space="0" w:color="auto"/>
      </w:divBdr>
    </w:div>
    <w:div w:id="1470047921">
      <w:bodyDiv w:val="1"/>
      <w:marLeft w:val="0"/>
      <w:marRight w:val="0"/>
      <w:marTop w:val="0"/>
      <w:marBottom w:val="0"/>
      <w:divBdr>
        <w:top w:val="none" w:sz="0" w:space="0" w:color="auto"/>
        <w:left w:val="none" w:sz="0" w:space="0" w:color="auto"/>
        <w:bottom w:val="none" w:sz="0" w:space="0" w:color="auto"/>
        <w:right w:val="none" w:sz="0" w:space="0" w:color="auto"/>
      </w:divBdr>
    </w:div>
    <w:div w:id="14984258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177624843">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7915888">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05738058">
      <w:bodyDiv w:val="1"/>
      <w:marLeft w:val="0"/>
      <w:marRight w:val="0"/>
      <w:marTop w:val="0"/>
      <w:marBottom w:val="0"/>
      <w:divBdr>
        <w:top w:val="none" w:sz="0" w:space="0" w:color="auto"/>
        <w:left w:val="none" w:sz="0" w:space="0" w:color="auto"/>
        <w:bottom w:val="none" w:sz="0" w:space="0" w:color="auto"/>
        <w:right w:val="none" w:sz="0" w:space="0" w:color="auto"/>
      </w:divBdr>
      <w:divsChild>
        <w:div w:id="2120836546">
          <w:marLeft w:val="720"/>
          <w:marRight w:val="0"/>
          <w:marTop w:val="0"/>
          <w:marBottom w:val="0"/>
          <w:divBdr>
            <w:top w:val="none" w:sz="0" w:space="0" w:color="auto"/>
            <w:left w:val="none" w:sz="0" w:space="0" w:color="auto"/>
            <w:bottom w:val="none" w:sz="0" w:space="0" w:color="auto"/>
            <w:right w:val="none" w:sz="0" w:space="0" w:color="auto"/>
          </w:divBdr>
        </w:div>
        <w:div w:id="1421757898">
          <w:marLeft w:val="720"/>
          <w:marRight w:val="0"/>
          <w:marTop w:val="0"/>
          <w:marBottom w:val="0"/>
          <w:divBdr>
            <w:top w:val="none" w:sz="0" w:space="0" w:color="auto"/>
            <w:left w:val="none" w:sz="0" w:space="0" w:color="auto"/>
            <w:bottom w:val="none" w:sz="0" w:space="0" w:color="auto"/>
            <w:right w:val="none" w:sz="0" w:space="0" w:color="auto"/>
          </w:divBdr>
        </w:div>
        <w:div w:id="313723871">
          <w:marLeft w:val="720"/>
          <w:marRight w:val="0"/>
          <w:marTop w:val="0"/>
          <w:marBottom w:val="0"/>
          <w:divBdr>
            <w:top w:val="none" w:sz="0" w:space="0" w:color="auto"/>
            <w:left w:val="none" w:sz="0" w:space="0" w:color="auto"/>
            <w:bottom w:val="none" w:sz="0" w:space="0" w:color="auto"/>
            <w:right w:val="none" w:sz="0" w:space="0" w:color="auto"/>
          </w:divBdr>
        </w:div>
        <w:div w:id="2055079069">
          <w:marLeft w:val="720"/>
          <w:marRight w:val="0"/>
          <w:marTop w:val="0"/>
          <w:marBottom w:val="0"/>
          <w:divBdr>
            <w:top w:val="none" w:sz="0" w:space="0" w:color="auto"/>
            <w:left w:val="none" w:sz="0" w:space="0" w:color="auto"/>
            <w:bottom w:val="none" w:sz="0" w:space="0" w:color="auto"/>
            <w:right w:val="none" w:sz="0" w:space="0" w:color="auto"/>
          </w:divBdr>
        </w:div>
        <w:div w:id="1442991035">
          <w:marLeft w:val="720"/>
          <w:marRight w:val="0"/>
          <w:marTop w:val="0"/>
          <w:marBottom w:val="0"/>
          <w:divBdr>
            <w:top w:val="none" w:sz="0" w:space="0" w:color="auto"/>
            <w:left w:val="none" w:sz="0" w:space="0" w:color="auto"/>
            <w:bottom w:val="none" w:sz="0" w:space="0" w:color="auto"/>
            <w:right w:val="none" w:sz="0" w:space="0" w:color="auto"/>
          </w:divBdr>
        </w:div>
      </w:divsChild>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60241674">
      <w:bodyDiv w:val="1"/>
      <w:marLeft w:val="0"/>
      <w:marRight w:val="0"/>
      <w:marTop w:val="0"/>
      <w:marBottom w:val="0"/>
      <w:divBdr>
        <w:top w:val="none" w:sz="0" w:space="0" w:color="auto"/>
        <w:left w:val="none" w:sz="0" w:space="0" w:color="auto"/>
        <w:bottom w:val="none" w:sz="0" w:space="0" w:color="auto"/>
        <w:right w:val="none" w:sz="0" w:space="0" w:color="auto"/>
      </w:divBdr>
    </w:div>
    <w:div w:id="186504894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18441413">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1953169871">
      <w:bodyDiv w:val="1"/>
      <w:marLeft w:val="0"/>
      <w:marRight w:val="0"/>
      <w:marTop w:val="0"/>
      <w:marBottom w:val="0"/>
      <w:divBdr>
        <w:top w:val="none" w:sz="0" w:space="0" w:color="auto"/>
        <w:left w:val="none" w:sz="0" w:space="0" w:color="auto"/>
        <w:bottom w:val="none" w:sz="0" w:space="0" w:color="auto"/>
        <w:right w:val="none" w:sz="0" w:space="0" w:color="auto"/>
      </w:divBdr>
    </w:div>
    <w:div w:id="1954894764">
      <w:bodyDiv w:val="1"/>
      <w:marLeft w:val="0"/>
      <w:marRight w:val="0"/>
      <w:marTop w:val="0"/>
      <w:marBottom w:val="0"/>
      <w:divBdr>
        <w:top w:val="none" w:sz="0" w:space="0" w:color="auto"/>
        <w:left w:val="none" w:sz="0" w:space="0" w:color="auto"/>
        <w:bottom w:val="none" w:sz="0" w:space="0" w:color="auto"/>
        <w:right w:val="none" w:sz="0" w:space="0" w:color="auto"/>
      </w:divBdr>
      <w:divsChild>
        <w:div w:id="257908614">
          <w:marLeft w:val="274"/>
          <w:marRight w:val="0"/>
          <w:marTop w:val="0"/>
          <w:marBottom w:val="0"/>
          <w:divBdr>
            <w:top w:val="none" w:sz="0" w:space="0" w:color="auto"/>
            <w:left w:val="none" w:sz="0" w:space="0" w:color="auto"/>
            <w:bottom w:val="none" w:sz="0" w:space="0" w:color="auto"/>
            <w:right w:val="none" w:sz="0" w:space="0" w:color="auto"/>
          </w:divBdr>
        </w:div>
        <w:div w:id="1811092661">
          <w:marLeft w:val="274"/>
          <w:marRight w:val="0"/>
          <w:marTop w:val="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22533868">
      <w:bodyDiv w:val="1"/>
      <w:marLeft w:val="0"/>
      <w:marRight w:val="0"/>
      <w:marTop w:val="0"/>
      <w:marBottom w:val="0"/>
      <w:divBdr>
        <w:top w:val="none" w:sz="0" w:space="0" w:color="auto"/>
        <w:left w:val="none" w:sz="0" w:space="0" w:color="auto"/>
        <w:bottom w:val="none" w:sz="0" w:space="0" w:color="auto"/>
        <w:right w:val="none" w:sz="0" w:space="0" w:color="auto"/>
      </w:divBdr>
    </w:div>
    <w:div w:id="2136365636">
      <w:bodyDiv w:val="1"/>
      <w:marLeft w:val="0"/>
      <w:marRight w:val="0"/>
      <w:marTop w:val="0"/>
      <w:marBottom w:val="0"/>
      <w:divBdr>
        <w:top w:val="none" w:sz="0" w:space="0" w:color="auto"/>
        <w:left w:val="none" w:sz="0" w:space="0" w:color="auto"/>
        <w:bottom w:val="none" w:sz="0" w:space="0" w:color="auto"/>
        <w:right w:val="none" w:sz="0" w:space="0" w:color="auto"/>
      </w:divBdr>
    </w:div>
    <w:div w:id="2144420273">
      <w:bodyDiv w:val="1"/>
      <w:marLeft w:val="0"/>
      <w:marRight w:val="0"/>
      <w:marTop w:val="0"/>
      <w:marBottom w:val="0"/>
      <w:divBdr>
        <w:top w:val="none" w:sz="0" w:space="0" w:color="auto"/>
        <w:left w:val="none" w:sz="0" w:space="0" w:color="auto"/>
        <w:bottom w:val="none" w:sz="0" w:space="0" w:color="auto"/>
        <w:right w:val="none" w:sz="0" w:space="0" w:color="auto"/>
      </w:divBdr>
      <w:divsChild>
        <w:div w:id="1140462688">
          <w:marLeft w:val="547"/>
          <w:marRight w:val="0"/>
          <w:marTop w:val="115"/>
          <w:marBottom w:val="0"/>
          <w:divBdr>
            <w:top w:val="none" w:sz="0" w:space="0" w:color="auto"/>
            <w:left w:val="none" w:sz="0" w:space="0" w:color="auto"/>
            <w:bottom w:val="none" w:sz="0" w:space="0" w:color="auto"/>
            <w:right w:val="none" w:sz="0" w:space="0" w:color="auto"/>
          </w:divBdr>
        </w:div>
        <w:div w:id="903874614">
          <w:marLeft w:val="547"/>
          <w:marRight w:val="0"/>
          <w:marTop w:val="115"/>
          <w:marBottom w:val="0"/>
          <w:divBdr>
            <w:top w:val="none" w:sz="0" w:space="0" w:color="auto"/>
            <w:left w:val="none" w:sz="0" w:space="0" w:color="auto"/>
            <w:bottom w:val="none" w:sz="0" w:space="0" w:color="auto"/>
            <w:right w:val="none" w:sz="0" w:space="0" w:color="auto"/>
          </w:divBdr>
        </w:div>
      </w:divsChild>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one-step-at-a-time.html" TargetMode="External"/><Relationship Id="rId13" Type="http://schemas.openxmlformats.org/officeDocument/2006/relationships/hyperlink" Target="https://www.publishersweekly.com/pw/by-topic/childrens/childrens-industry-news/article/84202-libraries-employ-low-tech-programming-to-engage-children-and-families.html" TargetMode="External"/><Relationship Id="rId18" Type="http://schemas.openxmlformats.org/officeDocument/2006/relationships/hyperlink" Target="https://www.webjunction.org/explore-topics/ehealth/more-info.html" TargetMode="External"/><Relationship Id="rId26" Type="http://schemas.openxmlformats.org/officeDocument/2006/relationships/hyperlink" Target="https://nnlm.gov/funding" TargetMode="External"/><Relationship Id="rId3" Type="http://schemas.openxmlformats.org/officeDocument/2006/relationships/styles" Target="styles.xml"/><Relationship Id="rId21" Type="http://schemas.openxmlformats.org/officeDocument/2006/relationships/hyperlink" Target="https://www.curiouscitydpw.com/storywalk/"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letsmovelibraries.org/program-ideas/" TargetMode="External"/><Relationship Id="rId17" Type="http://schemas.openxmlformats.org/officeDocument/2006/relationships/hyperlink" Target="https://www.pps.org/article/5-steps-to-making-places" TargetMode="External"/><Relationship Id="rId25" Type="http://schemas.openxmlformats.org/officeDocument/2006/relationships/hyperlink" Target="https://nifa.usda.gov/land-grant-colleges-and-universities-partner-website-directory?state=All&amp;type=Extensio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guide.saferoutesinfo.org/pdf/SRTS-Guide_Encouragement.pdf" TargetMode="External"/><Relationship Id="rId20" Type="http://schemas.openxmlformats.org/officeDocument/2006/relationships/hyperlink" Target="https://letsmovelibraries.org/storywal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junction.org/content/dam/WebJunction/Documents/webJunction/2015-01/supporting-healthy-communities-through-health-information-and-services.pdf" TargetMode="External"/><Relationship Id="rId24" Type="http://schemas.openxmlformats.org/officeDocument/2006/relationships/hyperlink" Target="https://americawalks.org/community-change-grant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ogramminglibrarian.org/blog/9-ways-take-walk-library" TargetMode="External"/><Relationship Id="rId23" Type="http://schemas.openxmlformats.org/officeDocument/2006/relationships/hyperlink" Target="https://americawalks.org/category/resources/tactics/" TargetMode="External"/><Relationship Id="rId28" Type="http://schemas.openxmlformats.org/officeDocument/2006/relationships/hyperlink" Target="https://www.epa.gov/smartgrowth" TargetMode="External"/><Relationship Id="rId36" Type="http://schemas.openxmlformats.org/officeDocument/2006/relationships/theme" Target="theme/theme1.xml"/><Relationship Id="rId10" Type="http://schemas.openxmlformats.org/officeDocument/2006/relationships/hyperlink" Target="https://www.webjunction.org/explore-topics/ehealth.html" TargetMode="External"/><Relationship Id="rId19" Type="http://schemas.openxmlformats.org/officeDocument/2006/relationships/hyperlink" Target="https://www.webjunction.org/content/dam/WebJunction/Documents/webJunction/Topics/smart-spaces/wilton-gregg-library-story.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mericawalks.org/how-to-conduct-a-walk-audit-in-your-community-quick-guide-for-assessing-your-neighborhood-walkability/" TargetMode="External"/><Relationship Id="rId14" Type="http://schemas.openxmlformats.org/officeDocument/2006/relationships/hyperlink" Target="http://www.programminglibrarian.org/ideas/topic?topic=948" TargetMode="External"/><Relationship Id="rId22" Type="http://schemas.openxmlformats.org/officeDocument/2006/relationships/hyperlink" Target="https://arlibrary.libguides.com/storywalks/home" TargetMode="External"/><Relationship Id="rId27" Type="http://schemas.openxmlformats.org/officeDocument/2006/relationships/hyperlink" Target="http://librarygrants.blogspot.com/"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ED502-FF53-4463-B737-32E4816B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4</cp:revision>
  <dcterms:created xsi:type="dcterms:W3CDTF">2020-10-20T17:30:00Z</dcterms:created>
  <dcterms:modified xsi:type="dcterms:W3CDTF">2020-10-20T22:11:00Z</dcterms:modified>
</cp:coreProperties>
</file>