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4FFA71" w14:textId="77777777" w:rsidR="00F36FC2" w:rsidRDefault="00167BF1">
      <w:pPr>
        <w:pStyle w:val="Body"/>
        <w:spacing w:line="240" w:lineRule="auto"/>
        <w:rPr>
          <w:rFonts w:ascii="Cambria" w:eastAsia="Cambria" w:hAnsi="Cambria" w:cs="Cambria"/>
          <w:b/>
          <w:bCs/>
          <w:color w:val="365F91"/>
          <w:sz w:val="28"/>
          <w:szCs w:val="28"/>
          <w:u w:color="365F91"/>
        </w:rPr>
      </w:pPr>
      <w:r>
        <w:rPr>
          <w:rFonts w:ascii="Cambria" w:eastAsia="Cambria" w:hAnsi="Cambria" w:cs="Cambria"/>
          <w:b/>
          <w:bCs/>
          <w:color w:val="365F91"/>
          <w:sz w:val="28"/>
          <w:szCs w:val="28"/>
          <w:u w:color="365F91"/>
        </w:rPr>
        <w:t>Librarian as Verb: Activate Your Rural Community</w:t>
      </w:r>
    </w:p>
    <w:p w14:paraId="2547BEB5" w14:textId="77777777" w:rsidR="00F36FC2" w:rsidRDefault="00167BF1">
      <w:pPr>
        <w:pStyle w:val="Body"/>
        <w:spacing w:line="240" w:lineRule="auto"/>
        <w:rPr>
          <w:rFonts w:ascii="Cambria" w:eastAsia="Cambria" w:hAnsi="Cambria" w:cs="Cambria"/>
          <w:b/>
          <w:bCs/>
          <w:color w:val="365F91"/>
          <w:sz w:val="28"/>
          <w:szCs w:val="28"/>
          <w:u w:color="365F91"/>
        </w:rPr>
      </w:pPr>
      <w:r>
        <w:rPr>
          <w:rFonts w:ascii="Cambria" w:eastAsia="Cambria" w:hAnsi="Cambria" w:cs="Cambria"/>
          <w:b/>
          <w:bCs/>
          <w:color w:val="365F91"/>
          <w:sz w:val="28"/>
          <w:szCs w:val="28"/>
          <w:u w:color="365F91"/>
        </w:rPr>
        <w:t>Learner Guide</w:t>
      </w:r>
    </w:p>
    <w:p w14:paraId="4C6BF0AF" w14:textId="77777777" w:rsidR="00F36FC2" w:rsidRDefault="00167BF1">
      <w:pPr>
        <w:pStyle w:val="Body"/>
        <w:spacing w:line="240" w:lineRule="auto"/>
        <w:rPr>
          <w:rFonts w:ascii="Cambria" w:eastAsia="Cambria" w:hAnsi="Cambria" w:cs="Cambria"/>
          <w:b/>
          <w:bCs/>
          <w:color w:val="365F91"/>
          <w:sz w:val="28"/>
          <w:szCs w:val="28"/>
          <w:u w:color="365F91"/>
        </w:rPr>
      </w:pPr>
      <w:hyperlink r:id="rId7" w:history="1">
        <w:r>
          <w:rPr>
            <w:rStyle w:val="Hyperlink0"/>
          </w:rPr>
          <w:t>https://www.webjunction.org/events/webjunction/librarian-as-verb.html</w:t>
        </w:r>
      </w:hyperlink>
    </w:p>
    <w:p w14:paraId="63FD35A0" w14:textId="77777777" w:rsidR="00F36FC2" w:rsidRDefault="00167BF1">
      <w:pPr>
        <w:pStyle w:val="NormalWeb"/>
        <w:rPr>
          <w:rFonts w:ascii="Calibri" w:eastAsia="Calibri" w:hAnsi="Calibri" w:cs="Calibri"/>
          <w:sz w:val="22"/>
          <w:szCs w:val="22"/>
        </w:rPr>
      </w:pPr>
      <w:r>
        <w:rPr>
          <w:rFonts w:ascii="Calibri" w:eastAsia="Calibri" w:hAnsi="Calibri" w:cs="Calibri"/>
          <w:b/>
          <w:bCs/>
          <w:sz w:val="22"/>
          <w:szCs w:val="22"/>
        </w:rPr>
        <w:t>Event Description</w:t>
      </w:r>
      <w:r>
        <w:rPr>
          <w:rFonts w:ascii="Calibri" w:eastAsia="Calibri" w:hAnsi="Calibri" w:cs="Calibri"/>
          <w:sz w:val="22"/>
          <w:szCs w:val="22"/>
        </w:rPr>
        <w:t xml:space="preserve">: </w:t>
      </w:r>
      <w:r>
        <w:rPr>
          <w:rFonts w:ascii="Calibri" w:eastAsia="Calibri" w:hAnsi="Calibri" w:cs="Calibri"/>
          <w:sz w:val="22"/>
          <w:szCs w:val="22"/>
        </w:rPr>
        <w:t xml:space="preserve">Making connections and being an active part of the community you serve is especially important in small and rural libraries. It makes your library more visible </w:t>
      </w:r>
      <w:proofErr w:type="gramStart"/>
      <w:r>
        <w:rPr>
          <w:rFonts w:ascii="Calibri" w:eastAsia="Calibri" w:hAnsi="Calibri" w:cs="Calibri"/>
          <w:sz w:val="22"/>
          <w:szCs w:val="22"/>
        </w:rPr>
        <w:t xml:space="preserve">and </w:t>
      </w:r>
      <w:r>
        <w:rPr>
          <w:rFonts w:ascii="Calibri" w:eastAsia="Calibri" w:hAnsi="Calibri" w:cs="Calibri"/>
          <w:sz w:val="22"/>
          <w:szCs w:val="22"/>
        </w:rPr>
        <w:t>also</w:t>
      </w:r>
      <w:proofErr w:type="gramEnd"/>
      <w:r>
        <w:rPr>
          <w:rFonts w:ascii="Calibri" w:eastAsia="Calibri" w:hAnsi="Calibri" w:cs="Calibri"/>
          <w:sz w:val="22"/>
          <w:szCs w:val="22"/>
        </w:rPr>
        <w:t xml:space="preserve"> enhances the quality of life in the community. Learn how a rural library director transformed library services over one summer, by getting out and growing awareness in the community. With the help of two enthusiastic staff, one simple idea grew into s</w:t>
      </w:r>
      <w:r>
        <w:rPr>
          <w:rFonts w:ascii="Calibri" w:eastAsia="Calibri" w:hAnsi="Calibri" w:cs="Calibri"/>
          <w:sz w:val="22"/>
          <w:szCs w:val="22"/>
        </w:rPr>
        <w:t>o much more. We will explore different ways to engage your community, spark young readers, and build relationships with families. Hear tips, tools, and personal stories about how the library implemented outreach services and created ways to positively impa</w:t>
      </w:r>
      <w:r>
        <w:rPr>
          <w:rFonts w:ascii="Calibri" w:eastAsia="Calibri" w:hAnsi="Calibri" w:cs="Calibri"/>
          <w:sz w:val="22"/>
          <w:szCs w:val="22"/>
        </w:rPr>
        <w:t>ct the entire community! Learn how to make "librarian" not only your job title, but what you actively do.</w:t>
      </w:r>
    </w:p>
    <w:p w14:paraId="03FF22FB" w14:textId="77777777" w:rsidR="00F36FC2" w:rsidRDefault="00167BF1">
      <w:pPr>
        <w:pStyle w:val="NormalWeb"/>
        <w:rPr>
          <w:rFonts w:ascii="Calibri" w:eastAsia="Calibri" w:hAnsi="Calibri" w:cs="Calibri"/>
          <w:sz w:val="22"/>
          <w:szCs w:val="22"/>
        </w:rPr>
      </w:pPr>
      <w:r>
        <w:rPr>
          <w:rFonts w:ascii="Calibri" w:eastAsia="Calibri" w:hAnsi="Calibri" w:cs="Calibri"/>
          <w:sz w:val="22"/>
          <w:szCs w:val="22"/>
        </w:rPr>
        <w:t xml:space="preserve">A webinar presented in collaboration with the </w:t>
      </w:r>
      <w:hyperlink r:id="rId8" w:history="1">
        <w:r>
          <w:rPr>
            <w:rStyle w:val="Hyperlink1"/>
          </w:rPr>
          <w:t>Association for Rural &amp; Small Libraries</w:t>
        </w:r>
      </w:hyperlink>
      <w:r>
        <w:rPr>
          <w:rFonts w:ascii="Calibri" w:eastAsia="Calibri" w:hAnsi="Calibri" w:cs="Calibri"/>
          <w:sz w:val="22"/>
          <w:szCs w:val="22"/>
        </w:rPr>
        <w:t>.</w:t>
      </w:r>
    </w:p>
    <w:p w14:paraId="6DEDA137" w14:textId="77777777" w:rsidR="00F36FC2" w:rsidRDefault="00167BF1">
      <w:pPr>
        <w:pStyle w:val="NormalWeb"/>
        <w:rPr>
          <w:rFonts w:ascii="Calibri" w:eastAsia="Calibri" w:hAnsi="Calibri" w:cs="Calibri"/>
          <w:sz w:val="22"/>
          <w:szCs w:val="22"/>
        </w:rPr>
      </w:pPr>
      <w:r>
        <w:rPr>
          <w:rFonts w:ascii="Calibri" w:eastAsia="Calibri" w:hAnsi="Calibri" w:cs="Calibri"/>
          <w:b/>
          <w:bCs/>
          <w:sz w:val="22"/>
          <w:szCs w:val="22"/>
        </w:rPr>
        <w:t xml:space="preserve">Presented </w:t>
      </w:r>
      <w:proofErr w:type="gramStart"/>
      <w:r>
        <w:rPr>
          <w:rFonts w:ascii="Calibri" w:eastAsia="Calibri" w:hAnsi="Calibri" w:cs="Calibri"/>
          <w:b/>
          <w:bCs/>
          <w:sz w:val="22"/>
          <w:szCs w:val="22"/>
        </w:rPr>
        <w:t>by:</w:t>
      </w:r>
      <w:proofErr w:type="gramEnd"/>
      <w:r>
        <w:rPr>
          <w:rFonts w:ascii="Calibri" w:eastAsia="Calibri" w:hAnsi="Calibri" w:cs="Calibri"/>
          <w:sz w:val="22"/>
          <w:szCs w:val="22"/>
        </w:rPr>
        <w:t> </w:t>
      </w:r>
      <w:r>
        <w:rPr>
          <w:rFonts w:ascii="Calibri" w:eastAsia="Calibri" w:hAnsi="Calibri" w:cs="Calibri"/>
          <w:b/>
          <w:bCs/>
          <w:sz w:val="22"/>
          <w:szCs w:val="22"/>
        </w:rPr>
        <w:t xml:space="preserve">Lori </w:t>
      </w:r>
      <w:r>
        <w:rPr>
          <w:rFonts w:ascii="Calibri" w:eastAsia="Calibri" w:hAnsi="Calibri" w:cs="Calibri"/>
          <w:b/>
          <w:bCs/>
          <w:sz w:val="22"/>
          <w:szCs w:val="22"/>
        </w:rPr>
        <w:t>Juhlin</w:t>
      </w:r>
      <w:r>
        <w:rPr>
          <w:rFonts w:ascii="Calibri" w:eastAsia="Calibri" w:hAnsi="Calibri" w:cs="Calibri"/>
          <w:sz w:val="22"/>
          <w:szCs w:val="22"/>
        </w:rPr>
        <w:t>, Director of the Hawarden Public Library (IA), and Chair, ARSL Marketing &amp; Communication Committee</w:t>
      </w:r>
    </w:p>
    <w:tbl>
      <w:tblPr>
        <w:tblW w:w="946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18"/>
        <w:gridCol w:w="7950"/>
      </w:tblGrid>
      <w:tr w:rsidR="00F36FC2" w14:paraId="76DD3257" w14:textId="77777777">
        <w:trPr>
          <w:trHeight w:val="740"/>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504EB75C" w14:textId="77777777" w:rsidR="00F36FC2" w:rsidRDefault="00167BF1">
            <w:pPr>
              <w:pStyle w:val="Body"/>
            </w:pPr>
            <w:r>
              <w:rPr>
                <w:b/>
                <w:bCs/>
                <w:color w:val="FFFFFF"/>
                <w:sz w:val="24"/>
                <w:szCs w:val="24"/>
                <w:u w:color="FFFFFF"/>
              </w:rPr>
              <w:t>What are your goals for viewing this webinar?</w:t>
            </w:r>
          </w:p>
        </w:tc>
      </w:tr>
      <w:tr w:rsidR="00F36FC2" w14:paraId="20D54312" w14:textId="77777777">
        <w:trPr>
          <w:trHeight w:val="998"/>
        </w:trPr>
        <w:tc>
          <w:tcPr>
            <w:tcW w:w="1518"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14:paraId="1EE11F5B" w14:textId="77777777" w:rsidR="00F36FC2" w:rsidRDefault="00167BF1">
            <w:pPr>
              <w:pStyle w:val="Body"/>
              <w:spacing w:after="0" w:line="240" w:lineRule="auto"/>
            </w:pPr>
            <w:r>
              <w:rPr>
                <w:b/>
                <w:bCs/>
                <w:sz w:val="24"/>
                <w:szCs w:val="24"/>
              </w:rPr>
              <w:t>Personal Goals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D7CA154" w14:textId="77777777" w:rsidR="00F36FC2" w:rsidRDefault="00F36FC2">
            <w:pPr>
              <w:pStyle w:val="Body"/>
              <w:spacing w:after="0" w:line="240" w:lineRule="auto"/>
              <w:rPr>
                <w:sz w:val="24"/>
                <w:szCs w:val="24"/>
              </w:rPr>
            </w:pPr>
          </w:p>
          <w:p w14:paraId="7145E0FD" w14:textId="77777777" w:rsidR="00F36FC2" w:rsidRDefault="00F36FC2">
            <w:pPr>
              <w:pStyle w:val="Body"/>
              <w:spacing w:after="0" w:line="240" w:lineRule="auto"/>
            </w:pPr>
          </w:p>
        </w:tc>
      </w:tr>
      <w:tr w:rsidR="00F36FC2" w14:paraId="5DA4B6F7" w14:textId="77777777">
        <w:trPr>
          <w:trHeight w:val="998"/>
        </w:trPr>
        <w:tc>
          <w:tcPr>
            <w:tcW w:w="1518"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14:paraId="307AD871" w14:textId="77777777" w:rsidR="00F36FC2" w:rsidRDefault="00167BF1">
            <w:pPr>
              <w:pStyle w:val="Body"/>
              <w:spacing w:after="0" w:line="240" w:lineRule="auto"/>
            </w:pPr>
            <w:r>
              <w:rPr>
                <w:b/>
                <w:bCs/>
                <w:sz w:val="24"/>
                <w:szCs w:val="24"/>
              </w:rPr>
              <w:t>Team Goals</w:t>
            </w:r>
          </w:p>
        </w:tc>
        <w:tc>
          <w:tcPr>
            <w:tcW w:w="79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3CE24CA" w14:textId="77777777" w:rsidR="00F36FC2" w:rsidRDefault="00F36FC2">
            <w:pPr>
              <w:pStyle w:val="Body"/>
              <w:spacing w:after="0" w:line="240" w:lineRule="auto"/>
              <w:rPr>
                <w:sz w:val="24"/>
                <w:szCs w:val="24"/>
              </w:rPr>
            </w:pPr>
          </w:p>
          <w:p w14:paraId="46664CFF" w14:textId="77777777" w:rsidR="00F36FC2" w:rsidRDefault="00F36FC2">
            <w:pPr>
              <w:pStyle w:val="Body"/>
              <w:spacing w:after="0" w:line="240" w:lineRule="auto"/>
            </w:pPr>
          </w:p>
        </w:tc>
      </w:tr>
      <w:tr w:rsidR="00F36FC2" w14:paraId="4EFDF35B" w14:textId="77777777">
        <w:trPr>
          <w:trHeight w:val="550"/>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130C03E4" w14:textId="77777777" w:rsidR="00F36FC2" w:rsidRDefault="00167BF1">
            <w:pPr>
              <w:pStyle w:val="Body"/>
              <w:spacing w:after="0" w:line="240" w:lineRule="auto"/>
            </w:pPr>
            <w:r>
              <w:rPr>
                <w:b/>
                <w:bCs/>
                <w:color w:val="FFFFFF"/>
                <w:sz w:val="24"/>
                <w:szCs w:val="24"/>
                <w:u w:color="FFFFFF"/>
              </w:rPr>
              <w:t>Assessing Where We Are</w:t>
            </w:r>
          </w:p>
        </w:tc>
      </w:tr>
      <w:tr w:rsidR="00F36FC2" w14:paraId="0ACE94AC" w14:textId="77777777">
        <w:trPr>
          <w:trHeight w:val="3650"/>
        </w:trPr>
        <w:tc>
          <w:tcPr>
            <w:tcW w:w="9468"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F6DC65E" w14:textId="3B203488" w:rsidR="00F36FC2" w:rsidRDefault="00167BF1">
            <w:pPr>
              <w:pStyle w:val="Body"/>
              <w:spacing w:after="0" w:line="240" w:lineRule="auto"/>
              <w:rPr>
                <w:sz w:val="24"/>
                <w:szCs w:val="24"/>
              </w:rPr>
            </w:pPr>
            <w:r>
              <w:rPr>
                <w:sz w:val="24"/>
                <w:szCs w:val="24"/>
              </w:rPr>
              <w:t xml:space="preserve">Lori shared details about the kinds of existing programming and outreach </w:t>
            </w:r>
            <w:r w:rsidR="008C5C07">
              <w:rPr>
                <w:sz w:val="24"/>
                <w:szCs w:val="24"/>
              </w:rPr>
              <w:t xml:space="preserve">that </w:t>
            </w:r>
            <w:r>
              <w:rPr>
                <w:sz w:val="24"/>
                <w:szCs w:val="24"/>
              </w:rPr>
              <w:t xml:space="preserve">were already in place before shifting to a more active community engagement approach. Assess your current suite of library outreach programs, and consider how you could enhance them, </w:t>
            </w:r>
            <w:r>
              <w:rPr>
                <w:sz w:val="24"/>
                <w:szCs w:val="24"/>
              </w:rPr>
              <w:t>perhaps by saying “YES” more often.</w:t>
            </w:r>
          </w:p>
          <w:p w14:paraId="1B84F48B" w14:textId="77777777" w:rsidR="00F36FC2" w:rsidRDefault="00F36FC2">
            <w:pPr>
              <w:pStyle w:val="Body"/>
              <w:spacing w:after="0" w:line="240" w:lineRule="auto"/>
              <w:rPr>
                <w:sz w:val="24"/>
                <w:szCs w:val="24"/>
              </w:rPr>
            </w:pPr>
          </w:p>
          <w:p w14:paraId="3F81A62C" w14:textId="5D8C2709" w:rsidR="00F36FC2" w:rsidRDefault="00F36FC2">
            <w:pPr>
              <w:pStyle w:val="Body"/>
              <w:spacing w:after="0" w:line="240" w:lineRule="auto"/>
              <w:rPr>
                <w:sz w:val="24"/>
                <w:szCs w:val="24"/>
              </w:rPr>
            </w:pPr>
          </w:p>
          <w:p w14:paraId="64C2781B" w14:textId="13869CF8" w:rsidR="008C5C07" w:rsidRDefault="008C5C07">
            <w:pPr>
              <w:pStyle w:val="Body"/>
              <w:spacing w:after="0" w:line="240" w:lineRule="auto"/>
              <w:rPr>
                <w:sz w:val="24"/>
                <w:szCs w:val="24"/>
              </w:rPr>
            </w:pPr>
          </w:p>
          <w:p w14:paraId="2E40A4EB" w14:textId="0103A883" w:rsidR="008C5C07" w:rsidRDefault="008C5C07">
            <w:pPr>
              <w:pStyle w:val="Body"/>
              <w:spacing w:after="0" w:line="240" w:lineRule="auto"/>
              <w:rPr>
                <w:sz w:val="24"/>
                <w:szCs w:val="24"/>
              </w:rPr>
            </w:pPr>
          </w:p>
          <w:p w14:paraId="0464549A" w14:textId="180E5577" w:rsidR="008C5C07" w:rsidRDefault="008C5C07">
            <w:pPr>
              <w:pStyle w:val="Body"/>
              <w:spacing w:after="0" w:line="240" w:lineRule="auto"/>
              <w:rPr>
                <w:sz w:val="24"/>
                <w:szCs w:val="24"/>
              </w:rPr>
            </w:pPr>
          </w:p>
          <w:p w14:paraId="78F17A12" w14:textId="77777777" w:rsidR="008C5C07" w:rsidRDefault="008C5C07">
            <w:pPr>
              <w:pStyle w:val="Body"/>
              <w:spacing w:after="0" w:line="240" w:lineRule="auto"/>
              <w:rPr>
                <w:sz w:val="24"/>
                <w:szCs w:val="24"/>
              </w:rPr>
            </w:pPr>
          </w:p>
          <w:p w14:paraId="6BD0C6A4" w14:textId="77777777" w:rsidR="00F36FC2" w:rsidRDefault="00F36FC2">
            <w:pPr>
              <w:pStyle w:val="Body"/>
              <w:spacing w:after="0" w:line="240" w:lineRule="auto"/>
              <w:rPr>
                <w:sz w:val="24"/>
                <w:szCs w:val="24"/>
              </w:rPr>
            </w:pPr>
          </w:p>
          <w:p w14:paraId="4361678E" w14:textId="77777777" w:rsidR="00F36FC2" w:rsidRDefault="00F36FC2">
            <w:pPr>
              <w:pStyle w:val="Body"/>
              <w:spacing w:after="0" w:line="240" w:lineRule="auto"/>
            </w:pPr>
          </w:p>
        </w:tc>
      </w:tr>
    </w:tbl>
    <w:p w14:paraId="1841C76E" w14:textId="3C525EE0" w:rsidR="00F36FC2" w:rsidRDefault="00F36FC2">
      <w:pPr>
        <w:pStyle w:val="Body"/>
      </w:pPr>
    </w:p>
    <w:tbl>
      <w:tblPr>
        <w:tblW w:w="955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558"/>
      </w:tblGrid>
      <w:tr w:rsidR="00F36FC2" w14:paraId="62B15946" w14:textId="77777777">
        <w:trPr>
          <w:trHeight w:val="478"/>
        </w:trPr>
        <w:tc>
          <w:tcPr>
            <w:tcW w:w="9558"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2E8C9809" w14:textId="77777777" w:rsidR="00F36FC2" w:rsidRDefault="00167BF1">
            <w:pPr>
              <w:pStyle w:val="Body"/>
            </w:pPr>
            <w:r>
              <w:rPr>
                <w:b/>
                <w:bCs/>
                <w:color w:val="FFFFFF"/>
                <w:sz w:val="24"/>
                <w:szCs w:val="24"/>
                <w:u w:color="FFFFFF"/>
              </w:rPr>
              <w:lastRenderedPageBreak/>
              <w:t>Library Pop-Ups</w:t>
            </w:r>
          </w:p>
        </w:tc>
      </w:tr>
      <w:tr w:rsidR="00F36FC2" w14:paraId="2C5D1D4D" w14:textId="77777777">
        <w:trPr>
          <w:trHeight w:val="4770"/>
        </w:trPr>
        <w:tc>
          <w:tcPr>
            <w:tcW w:w="9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8BAC1A0" w14:textId="77777777" w:rsidR="00F36FC2" w:rsidRDefault="00167BF1" w:rsidP="002C1E51">
            <w:pPr>
              <w:pStyle w:val="Body"/>
              <w:spacing w:after="0" w:line="240" w:lineRule="auto"/>
              <w:rPr>
                <w:sz w:val="24"/>
                <w:szCs w:val="24"/>
              </w:rPr>
            </w:pPr>
            <w:r>
              <w:rPr>
                <w:sz w:val="24"/>
                <w:szCs w:val="24"/>
              </w:rPr>
              <w:t xml:space="preserve">The Hawarden team has had great success with Library Pop-Ups, as a simple way to reach the community where they are. Brainstorm four potential Pop-Up opportunities, identifying </w:t>
            </w:r>
            <w:r>
              <w:rPr>
                <w:sz w:val="24"/>
                <w:szCs w:val="24"/>
              </w:rPr>
              <w:t>supplies needed, marketing ideas and potential community partners.</w:t>
            </w:r>
          </w:p>
          <w:p w14:paraId="3FA2DFE1" w14:textId="77777777" w:rsidR="00F36FC2" w:rsidRDefault="00F36FC2">
            <w:pPr>
              <w:pStyle w:val="Body"/>
              <w:spacing w:after="0" w:line="240" w:lineRule="auto"/>
              <w:jc w:val="both"/>
              <w:rPr>
                <w:sz w:val="24"/>
                <w:szCs w:val="24"/>
              </w:rPr>
            </w:pPr>
          </w:p>
          <w:p w14:paraId="6673A2E3" w14:textId="77777777" w:rsidR="00F36FC2" w:rsidRDefault="00F36FC2">
            <w:pPr>
              <w:pStyle w:val="NoSpacing"/>
              <w:numPr>
                <w:ilvl w:val="0"/>
                <w:numId w:val="1"/>
              </w:numPr>
              <w:spacing w:line="600" w:lineRule="auto"/>
              <w:rPr>
                <w:rFonts w:ascii="Calibri" w:eastAsia="Calibri" w:hAnsi="Calibri" w:cs="Calibri"/>
              </w:rPr>
            </w:pPr>
          </w:p>
          <w:p w14:paraId="7D3CCABC" w14:textId="77777777" w:rsidR="00F36FC2" w:rsidRDefault="00F36FC2">
            <w:pPr>
              <w:pStyle w:val="NoSpacing"/>
              <w:numPr>
                <w:ilvl w:val="0"/>
                <w:numId w:val="1"/>
              </w:numPr>
              <w:spacing w:line="600" w:lineRule="auto"/>
              <w:rPr>
                <w:rFonts w:ascii="Calibri" w:eastAsia="Calibri" w:hAnsi="Calibri" w:cs="Calibri"/>
              </w:rPr>
            </w:pPr>
          </w:p>
          <w:p w14:paraId="203A7A32" w14:textId="77777777" w:rsidR="00F36FC2" w:rsidRDefault="00167BF1">
            <w:pPr>
              <w:pStyle w:val="NoSpacing"/>
              <w:numPr>
                <w:ilvl w:val="0"/>
                <w:numId w:val="1"/>
              </w:numPr>
              <w:spacing w:line="600" w:lineRule="auto"/>
              <w:rPr>
                <w:rFonts w:ascii="Calibri" w:eastAsia="Calibri" w:hAnsi="Calibri" w:cs="Calibri"/>
              </w:rPr>
            </w:pPr>
            <w:r>
              <w:rPr>
                <w:rFonts w:ascii="Calibri" w:eastAsia="Calibri" w:hAnsi="Calibri" w:cs="Calibri"/>
              </w:rPr>
              <w:t xml:space="preserve"> </w:t>
            </w:r>
          </w:p>
          <w:p w14:paraId="7E6E9937" w14:textId="77777777" w:rsidR="00F36FC2" w:rsidRDefault="00F36FC2">
            <w:pPr>
              <w:pStyle w:val="NoSpacing"/>
              <w:numPr>
                <w:ilvl w:val="0"/>
                <w:numId w:val="1"/>
              </w:numPr>
              <w:spacing w:line="600" w:lineRule="auto"/>
              <w:rPr>
                <w:rFonts w:ascii="Calibri" w:eastAsia="Calibri" w:hAnsi="Calibri" w:cs="Calibri"/>
              </w:rPr>
            </w:pPr>
          </w:p>
          <w:p w14:paraId="73F8D700" w14:textId="77777777" w:rsidR="00F36FC2" w:rsidRDefault="00F36FC2">
            <w:pPr>
              <w:pStyle w:val="Body"/>
              <w:spacing w:after="0" w:line="240" w:lineRule="auto"/>
            </w:pPr>
          </w:p>
        </w:tc>
      </w:tr>
      <w:tr w:rsidR="00F36FC2" w14:paraId="0EB78F88" w14:textId="77777777">
        <w:trPr>
          <w:trHeight w:val="478"/>
        </w:trPr>
        <w:tc>
          <w:tcPr>
            <w:tcW w:w="9558"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605DEF70" w14:textId="77777777" w:rsidR="00F36FC2" w:rsidRDefault="00167BF1">
            <w:pPr>
              <w:pStyle w:val="Body"/>
              <w:spacing w:after="0" w:line="240" w:lineRule="auto"/>
            </w:pPr>
            <w:r>
              <w:rPr>
                <w:b/>
                <w:bCs/>
                <w:color w:val="FFFFFF"/>
                <w:sz w:val="24"/>
                <w:szCs w:val="24"/>
                <w:u w:color="FFFFFF"/>
              </w:rPr>
              <w:t>Community Engagement in Action</w:t>
            </w:r>
          </w:p>
        </w:tc>
      </w:tr>
      <w:tr w:rsidR="00F36FC2" w14:paraId="0CC87FF5" w14:textId="77777777" w:rsidTr="00610099">
        <w:trPr>
          <w:trHeight w:val="5409"/>
        </w:trPr>
        <w:tc>
          <w:tcPr>
            <w:tcW w:w="9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F06EF" w14:textId="42993CDB" w:rsidR="00F36FC2" w:rsidRDefault="002C1E51" w:rsidP="002C1E51">
            <w:pPr>
              <w:pStyle w:val="Body"/>
              <w:spacing w:after="0" w:line="240" w:lineRule="auto"/>
              <w:rPr>
                <w:sz w:val="24"/>
                <w:szCs w:val="24"/>
              </w:rPr>
            </w:pPr>
            <w:r>
              <w:rPr>
                <w:sz w:val="24"/>
                <w:szCs w:val="24"/>
              </w:rPr>
              <w:t xml:space="preserve">Make time to get out into the community, visit businesses, stores, anyone who might be a partner later. </w:t>
            </w:r>
            <w:r w:rsidR="00167BF1">
              <w:rPr>
                <w:sz w:val="24"/>
                <w:szCs w:val="24"/>
              </w:rPr>
              <w:t>Look for events you</w:t>
            </w:r>
            <w:r>
              <w:rPr>
                <w:sz w:val="24"/>
                <w:szCs w:val="24"/>
              </w:rPr>
              <w:t xml:space="preserve">, or members of your team, </w:t>
            </w:r>
            <w:r w:rsidR="00167BF1">
              <w:rPr>
                <w:sz w:val="24"/>
                <w:szCs w:val="24"/>
              </w:rPr>
              <w:t xml:space="preserve">can attend, </w:t>
            </w:r>
            <w:r w:rsidR="00167BF1">
              <w:rPr>
                <w:sz w:val="24"/>
                <w:szCs w:val="24"/>
              </w:rPr>
              <w:t>especially ones where it is not expected that you would attend.</w:t>
            </w:r>
            <w:r>
              <w:rPr>
                <w:sz w:val="24"/>
                <w:szCs w:val="24"/>
              </w:rPr>
              <w:t xml:space="preserve"> Brainstorm </w:t>
            </w:r>
            <w:r w:rsidR="00610099">
              <w:rPr>
                <w:sz w:val="24"/>
                <w:szCs w:val="24"/>
              </w:rPr>
              <w:t xml:space="preserve">community </w:t>
            </w:r>
            <w:r>
              <w:rPr>
                <w:sz w:val="24"/>
                <w:szCs w:val="24"/>
              </w:rPr>
              <w:t>organization</w:t>
            </w:r>
            <w:r w:rsidR="00610099">
              <w:rPr>
                <w:sz w:val="24"/>
                <w:szCs w:val="24"/>
              </w:rPr>
              <w:t>s</w:t>
            </w:r>
            <w:r>
              <w:rPr>
                <w:sz w:val="24"/>
                <w:szCs w:val="24"/>
              </w:rPr>
              <w:t xml:space="preserve"> or location</w:t>
            </w:r>
            <w:r w:rsidR="00610099">
              <w:rPr>
                <w:sz w:val="24"/>
                <w:szCs w:val="24"/>
              </w:rPr>
              <w:t>s to connect with</w:t>
            </w:r>
            <w:r>
              <w:rPr>
                <w:sz w:val="24"/>
                <w:szCs w:val="24"/>
              </w:rPr>
              <w:t xml:space="preserve">, identify staff member who can make the connection and set a </w:t>
            </w:r>
            <w:r w:rsidR="00610099">
              <w:rPr>
                <w:sz w:val="24"/>
                <w:szCs w:val="24"/>
              </w:rPr>
              <w:t xml:space="preserve">realistic </w:t>
            </w:r>
            <w:r>
              <w:rPr>
                <w:sz w:val="24"/>
                <w:szCs w:val="24"/>
              </w:rPr>
              <w:t>timeframe for action.</w:t>
            </w:r>
            <w:r w:rsidR="00610099">
              <w:rPr>
                <w:sz w:val="24"/>
                <w:szCs w:val="24"/>
              </w:rPr>
              <w:t xml:space="preserve"> Consider those you may have been connected to in the past, that could benefit from a refresh. Don’t feel you need to tackle them all at once!</w:t>
            </w:r>
          </w:p>
          <w:p w14:paraId="166D7BE3" w14:textId="77777777" w:rsidR="00F36FC2" w:rsidRDefault="00F36FC2">
            <w:pPr>
              <w:pStyle w:val="Body"/>
              <w:spacing w:after="0" w:line="360" w:lineRule="auto"/>
            </w:pPr>
          </w:p>
          <w:p w14:paraId="013672DC" w14:textId="77777777" w:rsidR="002C1E51" w:rsidRDefault="002C1E51" w:rsidP="002C1E51">
            <w:pPr>
              <w:pStyle w:val="NoSpacing"/>
              <w:numPr>
                <w:ilvl w:val="0"/>
                <w:numId w:val="4"/>
              </w:numPr>
              <w:spacing w:line="600" w:lineRule="auto"/>
              <w:rPr>
                <w:rFonts w:ascii="Calibri" w:eastAsia="Calibri" w:hAnsi="Calibri" w:cs="Calibri"/>
              </w:rPr>
            </w:pPr>
          </w:p>
          <w:p w14:paraId="20E108A9" w14:textId="77777777" w:rsidR="002C1E51" w:rsidRDefault="002C1E51" w:rsidP="002C1E51">
            <w:pPr>
              <w:pStyle w:val="NoSpacing"/>
              <w:numPr>
                <w:ilvl w:val="0"/>
                <w:numId w:val="4"/>
              </w:numPr>
              <w:spacing w:line="600" w:lineRule="auto"/>
              <w:rPr>
                <w:rFonts w:ascii="Calibri" w:eastAsia="Calibri" w:hAnsi="Calibri" w:cs="Calibri"/>
              </w:rPr>
            </w:pPr>
          </w:p>
          <w:p w14:paraId="741611B6" w14:textId="1B31A087" w:rsidR="002C1E51" w:rsidRDefault="002C1E51" w:rsidP="002C1E51">
            <w:pPr>
              <w:pStyle w:val="NoSpacing"/>
              <w:numPr>
                <w:ilvl w:val="0"/>
                <w:numId w:val="4"/>
              </w:numPr>
              <w:spacing w:line="600" w:lineRule="auto"/>
              <w:rPr>
                <w:rFonts w:ascii="Calibri" w:eastAsia="Calibri" w:hAnsi="Calibri" w:cs="Calibri"/>
              </w:rPr>
            </w:pPr>
            <w:r>
              <w:rPr>
                <w:rFonts w:ascii="Calibri" w:eastAsia="Calibri" w:hAnsi="Calibri" w:cs="Calibri"/>
              </w:rPr>
              <w:t xml:space="preserve"> </w:t>
            </w:r>
          </w:p>
          <w:p w14:paraId="59E82A17" w14:textId="77777777" w:rsidR="00610099" w:rsidRDefault="00610099" w:rsidP="00610099">
            <w:pPr>
              <w:pStyle w:val="NoSpacing"/>
              <w:numPr>
                <w:ilvl w:val="0"/>
                <w:numId w:val="4"/>
              </w:numPr>
              <w:spacing w:line="600" w:lineRule="auto"/>
              <w:rPr>
                <w:rFonts w:ascii="Calibri" w:eastAsia="Calibri" w:hAnsi="Calibri" w:cs="Calibri"/>
              </w:rPr>
            </w:pPr>
          </w:p>
          <w:p w14:paraId="56C116B4" w14:textId="0A7DFFEC" w:rsidR="00610099" w:rsidRDefault="00610099" w:rsidP="00610099">
            <w:pPr>
              <w:pStyle w:val="Body"/>
              <w:numPr>
                <w:ilvl w:val="0"/>
                <w:numId w:val="4"/>
              </w:numPr>
              <w:spacing w:after="0" w:line="360" w:lineRule="auto"/>
            </w:pPr>
          </w:p>
          <w:p w14:paraId="1ECFCA04" w14:textId="2485C7A8" w:rsidR="00610099" w:rsidRDefault="00610099" w:rsidP="00610099">
            <w:pPr>
              <w:pStyle w:val="Body"/>
              <w:spacing w:after="0" w:line="360" w:lineRule="auto"/>
            </w:pPr>
          </w:p>
          <w:p w14:paraId="3B494775" w14:textId="77777777" w:rsidR="00610099" w:rsidRDefault="00610099" w:rsidP="00610099">
            <w:pPr>
              <w:pStyle w:val="Body"/>
              <w:numPr>
                <w:ilvl w:val="0"/>
                <w:numId w:val="4"/>
              </w:numPr>
              <w:spacing w:after="0" w:line="360" w:lineRule="auto"/>
            </w:pPr>
          </w:p>
          <w:p w14:paraId="1E49B599" w14:textId="16B271B6" w:rsidR="00610099" w:rsidRDefault="00610099" w:rsidP="00610099">
            <w:pPr>
              <w:pStyle w:val="Body"/>
              <w:spacing w:after="0" w:line="360" w:lineRule="auto"/>
              <w:ind w:left="720"/>
            </w:pPr>
          </w:p>
        </w:tc>
      </w:tr>
      <w:tr w:rsidR="00F36FC2" w14:paraId="237EA807" w14:textId="77777777">
        <w:trPr>
          <w:trHeight w:val="469"/>
        </w:trPr>
        <w:tc>
          <w:tcPr>
            <w:tcW w:w="9558"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02E19786" w14:textId="6BB4C812" w:rsidR="00F36FC2" w:rsidRDefault="00610099">
            <w:pPr>
              <w:pStyle w:val="Body"/>
              <w:spacing w:before="100" w:after="100" w:line="240" w:lineRule="auto"/>
            </w:pPr>
            <w:r>
              <w:rPr>
                <w:b/>
                <w:bCs/>
                <w:color w:val="FFFFFF"/>
                <w:sz w:val="24"/>
                <w:szCs w:val="24"/>
                <w:u w:color="FFFFFF"/>
              </w:rPr>
              <w:lastRenderedPageBreak/>
              <w:t>Diving Deeper with Community Discovery</w:t>
            </w:r>
          </w:p>
        </w:tc>
      </w:tr>
      <w:tr w:rsidR="00F36FC2" w14:paraId="5AA6EC30" w14:textId="77777777">
        <w:trPr>
          <w:trHeight w:val="910"/>
        </w:trPr>
        <w:tc>
          <w:tcPr>
            <w:tcW w:w="9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152D79" w14:textId="073E0801" w:rsidR="00610099" w:rsidRDefault="00610099" w:rsidP="00F13933">
            <w:pPr>
              <w:rPr>
                <w:rFonts w:ascii="Calibri" w:hAnsi="Calibri" w:cs="Calibri"/>
              </w:rPr>
            </w:pPr>
            <w:r w:rsidRPr="00F13933">
              <w:rPr>
                <w:rFonts w:ascii="Calibri" w:hAnsi="Calibri" w:cs="Calibri"/>
              </w:rPr>
              <w:t xml:space="preserve">As you develop </w:t>
            </w:r>
            <w:r w:rsidR="00F13933">
              <w:rPr>
                <w:rFonts w:ascii="Calibri" w:hAnsi="Calibri" w:cs="Calibri"/>
              </w:rPr>
              <w:t xml:space="preserve">new or renewed </w:t>
            </w:r>
            <w:r w:rsidRPr="00F13933">
              <w:rPr>
                <w:rFonts w:ascii="Calibri" w:hAnsi="Calibri" w:cs="Calibri"/>
              </w:rPr>
              <w:t>community connections, consider taking a deeper dive to understand community interests and needs</w:t>
            </w:r>
            <w:r w:rsidR="00F13933">
              <w:rPr>
                <w:rFonts w:ascii="Calibri" w:hAnsi="Calibri" w:cs="Calibri"/>
              </w:rPr>
              <w:t>,</w:t>
            </w:r>
            <w:r w:rsidRPr="00F13933">
              <w:rPr>
                <w:rFonts w:ascii="Calibri" w:hAnsi="Calibri" w:cs="Calibri"/>
              </w:rPr>
              <w:t xml:space="preserve"> using a community discovery process. In the webinar, </w:t>
            </w:r>
            <w:hyperlink r:id="rId9" w:history="1">
              <w:r w:rsidRPr="00F13933">
                <w:rPr>
                  <w:rStyle w:val="Hyperlink"/>
                  <w:rFonts w:ascii="Calibri" w:hAnsi="Calibri" w:cs="Calibri"/>
                  <w:color w:val="0000FF"/>
                </w:rPr>
                <w:t>Getting to the Heart of the Community Through Discovery</w:t>
              </w:r>
            </w:hyperlink>
            <w:r w:rsidRPr="00F13933">
              <w:rPr>
                <w:rFonts w:ascii="Calibri" w:eastAsia="Times New Roman" w:hAnsi="Calibri" w:cs="Calibri"/>
                <w:kern w:val="36"/>
                <w:bdr w:val="none" w:sz="0" w:space="0" w:color="auto"/>
              </w:rPr>
              <w:t xml:space="preserve">, </w:t>
            </w:r>
            <w:r w:rsidR="00F13933" w:rsidRPr="00F13933">
              <w:rPr>
                <w:rFonts w:ascii="Calibri" w:hAnsi="Calibri" w:cs="Calibri"/>
              </w:rPr>
              <w:t xml:space="preserve">explore tools and strategies that bring the community more deliberately into the engagement process, to start </w:t>
            </w:r>
            <w:r w:rsidR="00F13933" w:rsidRPr="00F13933">
              <w:rPr>
                <w:rFonts w:ascii="Calibri" w:hAnsi="Calibri" w:cs="Calibri"/>
              </w:rPr>
              <w:t>meaningful conversations and foster collaborative engagement on everything from strategic and space planning to programming.</w:t>
            </w:r>
          </w:p>
          <w:p w14:paraId="71C5CBA7" w14:textId="4C22B5D6" w:rsidR="00F13933" w:rsidRDefault="00F13933" w:rsidP="00F13933">
            <w:pPr>
              <w:rPr>
                <w:rFonts w:ascii="Calibri" w:hAnsi="Calibri" w:cs="Calibri"/>
              </w:rPr>
            </w:pPr>
          </w:p>
          <w:p w14:paraId="5E26BB41" w14:textId="77777777" w:rsidR="00F13933" w:rsidRPr="00F13933" w:rsidRDefault="00F13933" w:rsidP="00F13933">
            <w:pPr>
              <w:spacing w:after="60"/>
              <w:rPr>
                <w:rFonts w:ascii="Calibri" w:hAnsi="Calibri" w:cs="Calibri"/>
                <w:b/>
              </w:rPr>
            </w:pPr>
            <w:r w:rsidRPr="00F13933">
              <w:rPr>
                <w:rFonts w:ascii="Calibri" w:hAnsi="Calibri" w:cs="Calibri"/>
                <w:b/>
              </w:rPr>
              <w:t>Remember:</w:t>
            </w:r>
          </w:p>
          <w:p w14:paraId="0EEA96A4" w14:textId="77777777" w:rsidR="00F13933" w:rsidRPr="00F13933" w:rsidRDefault="00F13933" w:rsidP="00F139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sz w:val="24"/>
                <w:szCs w:val="24"/>
              </w:rPr>
            </w:pPr>
            <w:r w:rsidRPr="00F13933">
              <w:rPr>
                <w:sz w:val="24"/>
                <w:szCs w:val="24"/>
              </w:rPr>
              <w:t>There is an intuitive side to community discovery. Be open to everything; make no judgement at this point—this is all fodder for the ideation process that begins in the next phase.</w:t>
            </w:r>
          </w:p>
          <w:p w14:paraId="58A1C5E0" w14:textId="77777777" w:rsidR="00F13933" w:rsidRPr="00F13933" w:rsidRDefault="00F13933" w:rsidP="00F139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Cs/>
                <w:sz w:val="24"/>
                <w:szCs w:val="24"/>
              </w:rPr>
            </w:pPr>
            <w:r w:rsidRPr="00F13933">
              <w:rPr>
                <w:iCs/>
                <w:sz w:val="24"/>
                <w:szCs w:val="24"/>
              </w:rPr>
              <w:t>Don’t discard any input from the community right off the bat because it’s “not what the library does.”</w:t>
            </w:r>
          </w:p>
          <w:p w14:paraId="51311A56" w14:textId="53889A02" w:rsidR="00F13933" w:rsidRPr="00F13933" w:rsidRDefault="00F13933" w:rsidP="00F139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
                <w:iCs/>
                <w:sz w:val="24"/>
                <w:szCs w:val="24"/>
              </w:rPr>
            </w:pPr>
            <w:r w:rsidRPr="00F13933">
              <w:rPr>
                <w:sz w:val="24"/>
                <w:szCs w:val="24"/>
              </w:rPr>
              <w:t xml:space="preserve">Discovery is not a “majority rules” situation, </w:t>
            </w:r>
            <w:r>
              <w:rPr>
                <w:sz w:val="24"/>
                <w:szCs w:val="24"/>
              </w:rPr>
              <w:t>and that the outcomes of your discovery may</w:t>
            </w:r>
            <w:r w:rsidRPr="00F13933">
              <w:rPr>
                <w:sz w:val="24"/>
                <w:szCs w:val="24"/>
              </w:rPr>
              <w:t xml:space="preserve"> not necessarily indicate the best direction for the library. Let your instincts guide you.</w:t>
            </w:r>
          </w:p>
          <w:p w14:paraId="63CC27A9" w14:textId="77777777" w:rsidR="00F13933" w:rsidRPr="00F13933" w:rsidRDefault="00F13933" w:rsidP="00F13933">
            <w:pPr>
              <w:pStyle w:val="ListParagraph"/>
              <w:numPr>
                <w:ilvl w:val="0"/>
                <w:numId w:val="5"/>
              </w:numPr>
              <w:pBdr>
                <w:top w:val="none" w:sz="0" w:space="0" w:color="auto"/>
                <w:left w:val="none" w:sz="0" w:space="0" w:color="auto"/>
                <w:bottom w:val="none" w:sz="0" w:space="0" w:color="auto"/>
                <w:right w:val="none" w:sz="0" w:space="0" w:color="auto"/>
                <w:between w:val="none" w:sz="0" w:space="0" w:color="auto"/>
                <w:bar w:val="none" w:sz="0" w:color="auto"/>
              </w:pBdr>
              <w:spacing w:after="60" w:line="276" w:lineRule="auto"/>
              <w:rPr>
                <w:iCs/>
                <w:sz w:val="24"/>
                <w:szCs w:val="24"/>
              </w:rPr>
            </w:pPr>
            <w:r w:rsidRPr="00F13933">
              <w:rPr>
                <w:iCs/>
                <w:sz w:val="24"/>
                <w:szCs w:val="24"/>
              </w:rPr>
              <w:t>Think beyond the obvious conclusion.</w:t>
            </w:r>
          </w:p>
          <w:p w14:paraId="6AA6A96F" w14:textId="16BEE73C" w:rsidR="00F13933" w:rsidRDefault="00F13933" w:rsidP="00F13933">
            <w:pPr>
              <w:rPr>
                <w:rFonts w:ascii="Calibri" w:hAnsi="Calibri" w:cs="Calibri"/>
              </w:rPr>
            </w:pPr>
          </w:p>
          <w:p w14:paraId="0093D1D9" w14:textId="41E62CE0" w:rsidR="00F13933" w:rsidRDefault="00F13933" w:rsidP="00F13933">
            <w:pPr>
              <w:rPr>
                <w:rFonts w:ascii="Calibri" w:hAnsi="Calibri" w:cs="Calibri"/>
              </w:rPr>
            </w:pPr>
          </w:p>
          <w:p w14:paraId="33D7DB36" w14:textId="77777777" w:rsidR="00F13933" w:rsidRPr="00F13933" w:rsidRDefault="00F13933" w:rsidP="00F13933">
            <w:pPr>
              <w:rPr>
                <w:rFonts w:ascii="Calibri" w:hAnsi="Calibri" w:cs="Calibri"/>
              </w:rPr>
            </w:pPr>
          </w:p>
          <w:p w14:paraId="135FBB73" w14:textId="0344494D" w:rsidR="00F36FC2" w:rsidRPr="00610099" w:rsidRDefault="00F36FC2" w:rsidP="00610099">
            <w:pPr>
              <w:rPr>
                <w:rFonts w:ascii="Calibri" w:hAnsi="Calibri" w:cs="Calibri"/>
              </w:rPr>
            </w:pPr>
          </w:p>
        </w:tc>
      </w:tr>
      <w:tr w:rsidR="00F36FC2" w14:paraId="6B96FA92" w14:textId="77777777">
        <w:trPr>
          <w:trHeight w:val="496"/>
        </w:trPr>
        <w:tc>
          <w:tcPr>
            <w:tcW w:w="9558" w:type="dxa"/>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14:paraId="50BFDD3B" w14:textId="77777777" w:rsidR="00F36FC2" w:rsidRDefault="00167BF1">
            <w:pPr>
              <w:pStyle w:val="Body"/>
              <w:spacing w:before="100" w:after="100" w:line="240" w:lineRule="auto"/>
            </w:pPr>
            <w:r>
              <w:rPr>
                <w:b/>
                <w:bCs/>
                <w:color w:val="FFFFFF"/>
                <w:sz w:val="24"/>
                <w:szCs w:val="24"/>
                <w:u w:color="FFFFFF"/>
                <w:shd w:val="clear" w:color="auto" w:fill="31849B"/>
              </w:rPr>
              <w:t>Action Plan:</w:t>
            </w:r>
            <w:r>
              <w:rPr>
                <w:color w:val="FFFFFF"/>
                <w:sz w:val="24"/>
                <w:szCs w:val="24"/>
                <w:u w:color="FFFFFF"/>
              </w:rPr>
              <w:t xml:space="preserve"> (include some simple next steps, along with who, when, etc.)</w:t>
            </w:r>
          </w:p>
        </w:tc>
      </w:tr>
      <w:tr w:rsidR="00F36FC2" w14:paraId="61B2BBD7" w14:textId="77777777">
        <w:trPr>
          <w:trHeight w:val="1710"/>
        </w:trPr>
        <w:tc>
          <w:tcPr>
            <w:tcW w:w="95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17A096" w14:textId="77777777" w:rsidR="00F36FC2" w:rsidRDefault="00F36FC2">
            <w:pPr>
              <w:pStyle w:val="Body"/>
              <w:spacing w:before="100" w:after="100" w:line="240" w:lineRule="auto"/>
              <w:rPr>
                <w:b/>
                <w:bCs/>
                <w:color w:val="FFFFFF"/>
                <w:sz w:val="24"/>
                <w:szCs w:val="24"/>
                <w:u w:color="FFFFFF"/>
                <w:shd w:val="clear" w:color="auto" w:fill="31849B"/>
              </w:rPr>
            </w:pPr>
          </w:p>
          <w:p w14:paraId="1778638D" w14:textId="77777777" w:rsidR="00F36FC2" w:rsidRDefault="00F36FC2">
            <w:pPr>
              <w:pStyle w:val="Body"/>
              <w:spacing w:before="100" w:after="100" w:line="240" w:lineRule="auto"/>
              <w:rPr>
                <w:b/>
                <w:bCs/>
                <w:color w:val="FFFFFF"/>
                <w:sz w:val="24"/>
                <w:szCs w:val="24"/>
                <w:u w:color="FFFFFF"/>
                <w:shd w:val="clear" w:color="auto" w:fill="31849B"/>
              </w:rPr>
            </w:pPr>
          </w:p>
          <w:p w14:paraId="01A30186" w14:textId="657E2082" w:rsidR="00F13933" w:rsidRDefault="00F13933">
            <w:pPr>
              <w:pStyle w:val="Body"/>
              <w:spacing w:before="100" w:after="100" w:line="240" w:lineRule="auto"/>
              <w:rPr>
                <w:b/>
                <w:bCs/>
                <w:color w:val="FFFFFF"/>
                <w:sz w:val="24"/>
                <w:szCs w:val="24"/>
                <w:u w:color="FFFFFF"/>
                <w:shd w:val="clear" w:color="auto" w:fill="31849B"/>
              </w:rPr>
            </w:pPr>
            <w:bookmarkStart w:id="0" w:name="_GoBack"/>
            <w:bookmarkEnd w:id="0"/>
          </w:p>
          <w:p w14:paraId="32B20939" w14:textId="7318A785" w:rsidR="00F13933" w:rsidRDefault="00F13933">
            <w:pPr>
              <w:pStyle w:val="Body"/>
              <w:spacing w:before="100" w:after="100" w:line="240" w:lineRule="auto"/>
              <w:rPr>
                <w:b/>
                <w:bCs/>
                <w:color w:val="FFFFFF"/>
                <w:sz w:val="24"/>
                <w:szCs w:val="24"/>
                <w:u w:color="FFFFFF"/>
                <w:shd w:val="clear" w:color="auto" w:fill="31849B"/>
              </w:rPr>
            </w:pPr>
          </w:p>
          <w:p w14:paraId="13DF9507" w14:textId="0364DCD4" w:rsidR="00F13933" w:rsidRDefault="00F13933">
            <w:pPr>
              <w:pStyle w:val="Body"/>
              <w:spacing w:before="100" w:after="100" w:line="240" w:lineRule="auto"/>
              <w:rPr>
                <w:b/>
                <w:bCs/>
                <w:color w:val="FFFFFF"/>
                <w:sz w:val="24"/>
                <w:szCs w:val="24"/>
                <w:u w:color="FFFFFF"/>
                <w:shd w:val="clear" w:color="auto" w:fill="31849B"/>
              </w:rPr>
            </w:pPr>
          </w:p>
          <w:p w14:paraId="4F7855BB" w14:textId="567DC0EC" w:rsidR="00F13933" w:rsidRDefault="00F13933">
            <w:pPr>
              <w:pStyle w:val="Body"/>
              <w:spacing w:before="100" w:after="100" w:line="240" w:lineRule="auto"/>
              <w:rPr>
                <w:b/>
                <w:bCs/>
                <w:color w:val="FFFFFF"/>
                <w:sz w:val="24"/>
                <w:szCs w:val="24"/>
                <w:u w:color="FFFFFF"/>
                <w:shd w:val="clear" w:color="auto" w:fill="31849B"/>
              </w:rPr>
            </w:pPr>
          </w:p>
          <w:p w14:paraId="315EFD58" w14:textId="77777777" w:rsidR="00F13933" w:rsidRDefault="00F13933">
            <w:pPr>
              <w:pStyle w:val="Body"/>
              <w:spacing w:before="100" w:after="100" w:line="240" w:lineRule="auto"/>
              <w:rPr>
                <w:b/>
                <w:bCs/>
                <w:color w:val="FFFFFF"/>
                <w:sz w:val="24"/>
                <w:szCs w:val="24"/>
                <w:u w:color="FFFFFF"/>
                <w:shd w:val="clear" w:color="auto" w:fill="31849B"/>
              </w:rPr>
            </w:pPr>
          </w:p>
          <w:p w14:paraId="29C2B8D9" w14:textId="2E3A2DC2" w:rsidR="00F13933" w:rsidRDefault="00F13933">
            <w:pPr>
              <w:pStyle w:val="Body"/>
              <w:spacing w:before="100" w:after="100" w:line="240" w:lineRule="auto"/>
              <w:rPr>
                <w:b/>
                <w:bCs/>
                <w:color w:val="FFFFFF"/>
                <w:sz w:val="24"/>
                <w:szCs w:val="24"/>
                <w:u w:color="FFFFFF"/>
                <w:shd w:val="clear" w:color="auto" w:fill="31849B"/>
              </w:rPr>
            </w:pPr>
          </w:p>
          <w:p w14:paraId="08FA258D" w14:textId="7F7F3CEE" w:rsidR="00F13933" w:rsidRDefault="00F13933">
            <w:pPr>
              <w:pStyle w:val="Body"/>
              <w:spacing w:before="100" w:after="100" w:line="240" w:lineRule="auto"/>
              <w:rPr>
                <w:b/>
                <w:bCs/>
                <w:color w:val="FFFFFF"/>
                <w:sz w:val="24"/>
                <w:szCs w:val="24"/>
                <w:u w:color="FFFFFF"/>
                <w:shd w:val="clear" w:color="auto" w:fill="31849B"/>
              </w:rPr>
            </w:pPr>
          </w:p>
          <w:p w14:paraId="4F5164D4" w14:textId="77777777" w:rsidR="00F13933" w:rsidRDefault="00F13933">
            <w:pPr>
              <w:pStyle w:val="Body"/>
              <w:spacing w:before="100" w:after="100" w:line="240" w:lineRule="auto"/>
              <w:rPr>
                <w:b/>
                <w:bCs/>
                <w:color w:val="FFFFFF"/>
                <w:sz w:val="24"/>
                <w:szCs w:val="24"/>
                <w:u w:color="FFFFFF"/>
                <w:shd w:val="clear" w:color="auto" w:fill="31849B"/>
              </w:rPr>
            </w:pPr>
          </w:p>
          <w:p w14:paraId="2818FD1B" w14:textId="77777777" w:rsidR="00F36FC2" w:rsidRDefault="00F36FC2">
            <w:pPr>
              <w:pStyle w:val="Body"/>
              <w:spacing w:before="100" w:after="100" w:line="240" w:lineRule="auto"/>
            </w:pPr>
          </w:p>
        </w:tc>
      </w:tr>
    </w:tbl>
    <w:p w14:paraId="20DD13F1" w14:textId="77777777" w:rsidR="00F36FC2" w:rsidRDefault="00F36FC2">
      <w:pPr>
        <w:pStyle w:val="Body"/>
        <w:widowControl w:val="0"/>
        <w:spacing w:line="240" w:lineRule="auto"/>
      </w:pPr>
    </w:p>
    <w:sectPr w:rsidR="00F36FC2">
      <w:headerReference w:type="default" r:id="rId10"/>
      <w:footerReference w:type="default" r:id="rId11"/>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9B116B" w14:textId="77777777" w:rsidR="00167BF1" w:rsidRDefault="00167BF1">
      <w:r>
        <w:separator/>
      </w:r>
    </w:p>
  </w:endnote>
  <w:endnote w:type="continuationSeparator" w:id="0">
    <w:p w14:paraId="6F6017B8" w14:textId="77777777" w:rsidR="00167BF1" w:rsidRDefault="00167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2EE1E4" w14:textId="77777777" w:rsidR="00F36FC2" w:rsidRDefault="00F36FC2">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A8A33" w14:textId="77777777" w:rsidR="00167BF1" w:rsidRDefault="00167BF1">
      <w:r>
        <w:separator/>
      </w:r>
    </w:p>
  </w:footnote>
  <w:footnote w:type="continuationSeparator" w:id="0">
    <w:p w14:paraId="28862E1A" w14:textId="77777777" w:rsidR="00167BF1" w:rsidRDefault="00167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C00FD3" w14:textId="77777777" w:rsidR="00F36FC2" w:rsidRDefault="00F36FC2">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71FDB"/>
    <w:multiLevelType w:val="hybridMultilevel"/>
    <w:tmpl w:val="B6183634"/>
    <w:lvl w:ilvl="0" w:tplc="B3A2ED64">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AE1ACD14">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18DAD516">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5C0C9C7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3192248C">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91EC8F8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B8947E5C">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C74E79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1E727ED0">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FE0568A"/>
    <w:multiLevelType w:val="hybridMultilevel"/>
    <w:tmpl w:val="D5DC0256"/>
    <w:lvl w:ilvl="0" w:tplc="B46E71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9AD42B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6CD142">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736A1F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0626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5E3C8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A67E9A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00F8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F06646">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47FE12E9"/>
    <w:multiLevelType w:val="hybridMultilevel"/>
    <w:tmpl w:val="105603F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3A3D76"/>
    <w:multiLevelType w:val="hybridMultilevel"/>
    <w:tmpl w:val="2244FDCA"/>
    <w:lvl w:ilvl="0" w:tplc="B46E71B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sz w:val="22"/>
        <w:szCs w:val="22"/>
        <w:highlight w:val="none"/>
        <w:vertAlign w:val="baseline"/>
      </w:rPr>
    </w:lvl>
    <w:lvl w:ilvl="1" w:tplc="9AD42B0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16CD142">
      <w:start w:val="1"/>
      <w:numFmt w:val="lowerRoman"/>
      <w:lvlText w:val="%3."/>
      <w:lvlJc w:val="left"/>
      <w:pPr>
        <w:ind w:left="2160" w:hanging="306"/>
      </w:pPr>
      <w:rPr>
        <w:rFonts w:hAnsi="Arial Unicode MS"/>
        <w:caps w:val="0"/>
        <w:smallCaps w:val="0"/>
        <w:strike w:val="0"/>
        <w:dstrike w:val="0"/>
        <w:outline w:val="0"/>
        <w:emboss w:val="0"/>
        <w:imprint w:val="0"/>
        <w:spacing w:val="0"/>
        <w:w w:val="100"/>
        <w:kern w:val="0"/>
        <w:position w:val="0"/>
        <w:highlight w:val="none"/>
        <w:vertAlign w:val="baseline"/>
      </w:rPr>
    </w:lvl>
    <w:lvl w:ilvl="3" w:tplc="736A1F7C">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5062600">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1E5E3C8E">
      <w:start w:val="1"/>
      <w:numFmt w:val="lowerRoman"/>
      <w:lvlText w:val="%6."/>
      <w:lvlJc w:val="left"/>
      <w:pPr>
        <w:ind w:left="4320" w:hanging="306"/>
      </w:pPr>
      <w:rPr>
        <w:rFonts w:hAnsi="Arial Unicode MS"/>
        <w:caps w:val="0"/>
        <w:smallCaps w:val="0"/>
        <w:strike w:val="0"/>
        <w:dstrike w:val="0"/>
        <w:outline w:val="0"/>
        <w:emboss w:val="0"/>
        <w:imprint w:val="0"/>
        <w:spacing w:val="0"/>
        <w:w w:val="100"/>
        <w:kern w:val="0"/>
        <w:position w:val="0"/>
        <w:highlight w:val="none"/>
        <w:vertAlign w:val="baseline"/>
      </w:rPr>
    </w:lvl>
    <w:lvl w:ilvl="6" w:tplc="A67E9A9A">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7200F8D6">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DF06646">
      <w:start w:val="1"/>
      <w:numFmt w:val="lowerRoman"/>
      <w:lvlText w:val="%9."/>
      <w:lvlJc w:val="left"/>
      <w:pPr>
        <w:ind w:left="6480" w:hanging="306"/>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0"/>
  </w:num>
  <w:num w:numId="3">
    <w:abstractNumId w:val="0"/>
    <w:lvlOverride w:ilvl="0">
      <w:startOverride w:val="5"/>
    </w:lvlOverride>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FC2"/>
    <w:rsid w:val="00167BF1"/>
    <w:rsid w:val="002C1E51"/>
    <w:rsid w:val="00610099"/>
    <w:rsid w:val="008C5C07"/>
    <w:rsid w:val="00B5015E"/>
    <w:rsid w:val="00F13933"/>
    <w:rsid w:val="00F36F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F970A0"/>
  <w15:docId w15:val="{F57B9F47-FCAA-48C1-8D03-DBA62F9C6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61009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pPr>
      <w:spacing w:after="200" w:line="276" w:lineRule="auto"/>
    </w:pPr>
    <w:rPr>
      <w:rFonts w:ascii="Calibri" w:eastAsia="Calibri" w:hAnsi="Calibri" w:cs="Calibri"/>
      <w:color w:val="000000"/>
      <w:sz w:val="22"/>
      <w:szCs w:val="22"/>
      <w:u w:color="000000"/>
      <w14:textOutline w14:w="0" w14:cap="flat" w14:cmpd="sng" w14:algn="ctr">
        <w14:noFill/>
        <w14:prstDash w14:val="solid"/>
        <w14:bevel/>
      </w14:textOutline>
    </w:rPr>
  </w:style>
  <w:style w:type="character" w:customStyle="1" w:styleId="Hyperlink0">
    <w:name w:val="Hyperlink.0"/>
    <w:basedOn w:val="Hyperlink"/>
    <w:rPr>
      <w:outline w:val="0"/>
      <w:color w:val="0000FF"/>
      <w:u w:val="single" w:color="0000FF"/>
    </w:rPr>
  </w:style>
  <w:style w:type="paragraph" w:styleId="NormalWeb">
    <w:name w:val="Normal (Web)"/>
    <w:pPr>
      <w:spacing w:before="100" w:after="100"/>
    </w:pPr>
    <w:rPr>
      <w:rFonts w:cs="Arial Unicode MS"/>
      <w:color w:val="000000"/>
      <w:sz w:val="24"/>
      <w:szCs w:val="24"/>
      <w:u w:color="000000"/>
    </w:rPr>
  </w:style>
  <w:style w:type="character" w:customStyle="1" w:styleId="Hyperlink1">
    <w:name w:val="Hyperlink.1"/>
    <w:basedOn w:val="Hyperlink0"/>
    <w:rPr>
      <w:rFonts w:ascii="Calibri" w:eastAsia="Calibri" w:hAnsi="Calibri" w:cs="Calibri"/>
      <w:outline w:val="0"/>
      <w:color w:val="0000FF"/>
      <w:sz w:val="22"/>
      <w:szCs w:val="22"/>
      <w:u w:val="single" w:color="0000FF"/>
    </w:rPr>
  </w:style>
  <w:style w:type="paragraph" w:styleId="NoSpacing">
    <w:name w:val="No Spacing"/>
    <w:rPr>
      <w:rFonts w:eastAsia="Times New Roman"/>
      <w:color w:val="000000"/>
      <w:sz w:val="24"/>
      <w:szCs w:val="24"/>
      <w:u w:color="000000"/>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character" w:customStyle="1" w:styleId="Heading1Char">
    <w:name w:val="Heading 1 Char"/>
    <w:basedOn w:val="DefaultParagraphFont"/>
    <w:link w:val="Heading1"/>
    <w:uiPriority w:val="9"/>
    <w:rsid w:val="00610099"/>
    <w:rPr>
      <w:rFonts w:eastAsia="Times New Roman"/>
      <w:b/>
      <w:bCs/>
      <w:kern w:val="36"/>
      <w:sz w:val="48"/>
      <w:szCs w:val="48"/>
      <w:bdr w:val="none" w:sz="0" w:space="0" w:color="auto"/>
    </w:rPr>
  </w:style>
  <w:style w:type="character" w:styleId="UnresolvedMention">
    <w:name w:val="Unresolved Mention"/>
    <w:basedOn w:val="DefaultParagraphFont"/>
    <w:uiPriority w:val="99"/>
    <w:semiHidden/>
    <w:unhideWhenUsed/>
    <w:rsid w:val="00F139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145590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arsl.inf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webjunction.org/events/webjunction/librarian-as-verb.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webjunction.org/events/webjunction/community-through-discovery.html"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3</Pages>
  <Words>556</Words>
  <Characters>3172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Peterson,Jennifer</cp:lastModifiedBy>
  <cp:revision>3</cp:revision>
  <dcterms:created xsi:type="dcterms:W3CDTF">2020-02-04T16:48:00Z</dcterms:created>
  <dcterms:modified xsi:type="dcterms:W3CDTF">2020-02-04T17:11:00Z</dcterms:modified>
</cp:coreProperties>
</file>