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1059" w14:textId="77777777" w:rsidR="00F9033A" w:rsidRDefault="00095C23" w:rsidP="009A4E87">
      <w:pPr>
        <w:spacing w:after="100" w:afterAutospacing="1"/>
        <w:jc w:val="center"/>
      </w:pPr>
      <w:r>
        <w:rPr>
          <w:noProof/>
        </w:rPr>
        <w:drawing>
          <wp:inline distT="0" distB="0" distL="0" distR="0" wp14:anchorId="34E8DD43" wp14:editId="647D2D7A">
            <wp:extent cx="5943600" cy="1109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SLTest2 (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109345"/>
                    </a:xfrm>
                    <a:prstGeom prst="rect">
                      <a:avLst/>
                    </a:prstGeom>
                  </pic:spPr>
                </pic:pic>
              </a:graphicData>
            </a:graphic>
          </wp:inline>
        </w:drawing>
      </w:r>
    </w:p>
    <w:p w14:paraId="08F5D145" w14:textId="48705C65" w:rsidR="00AF1B45" w:rsidRPr="00321CFE" w:rsidRDefault="00D947DE" w:rsidP="00321CFE">
      <w:pPr>
        <w:jc w:val="center"/>
        <w:rPr>
          <w:b/>
          <w:sz w:val="40"/>
          <w:szCs w:val="40"/>
        </w:rPr>
      </w:pPr>
      <w:r w:rsidRPr="00D947DE">
        <w:rPr>
          <w:b/>
          <w:sz w:val="40"/>
          <w:szCs w:val="40"/>
        </w:rPr>
        <w:t>Making Advocacy Second Nature</w:t>
      </w:r>
    </w:p>
    <w:p w14:paraId="5969EFE6" w14:textId="77777777" w:rsidR="00AF1B45" w:rsidRPr="000A0546" w:rsidRDefault="00A51971" w:rsidP="00D947DE">
      <w:pPr>
        <w:rPr>
          <w:b/>
          <w:bCs/>
          <w:iCs/>
          <w:sz w:val="24"/>
          <w:szCs w:val="24"/>
        </w:rPr>
      </w:pPr>
      <w:r w:rsidRPr="000A0546">
        <w:rPr>
          <w:b/>
          <w:bCs/>
          <w:iCs/>
          <w:sz w:val="24"/>
          <w:szCs w:val="24"/>
        </w:rPr>
        <w:t>Encouragement for Introverts</w:t>
      </w:r>
    </w:p>
    <w:p w14:paraId="3D70572A" w14:textId="77777777" w:rsidR="00A51971" w:rsidRPr="000A0546" w:rsidRDefault="00A51971" w:rsidP="00A51971">
      <w:pPr>
        <w:spacing w:after="0" w:line="240" w:lineRule="auto"/>
        <w:rPr>
          <w:sz w:val="24"/>
          <w:szCs w:val="24"/>
        </w:rPr>
      </w:pPr>
    </w:p>
    <w:p w14:paraId="19CCB4A3" w14:textId="77777777" w:rsidR="00A51971" w:rsidRPr="000A0546" w:rsidRDefault="00A51971" w:rsidP="00A51971">
      <w:pPr>
        <w:spacing w:after="0" w:line="240" w:lineRule="auto"/>
        <w:rPr>
          <w:sz w:val="24"/>
          <w:szCs w:val="24"/>
        </w:rPr>
      </w:pPr>
      <w:r w:rsidRPr="000A0546">
        <w:rPr>
          <w:sz w:val="24"/>
          <w:szCs w:val="24"/>
        </w:rPr>
        <w:t>“</w:t>
      </w:r>
      <w:proofErr w:type="gramStart"/>
      <w:r w:rsidRPr="000A0546">
        <w:rPr>
          <w:sz w:val="24"/>
          <w:szCs w:val="24"/>
        </w:rPr>
        <w:t>First</w:t>
      </w:r>
      <w:proofErr w:type="gramEnd"/>
      <w:r w:rsidRPr="000A0546">
        <w:rPr>
          <w:sz w:val="24"/>
          <w:szCs w:val="24"/>
        </w:rPr>
        <w:t xml:space="preserve"> they ignore you,</w:t>
      </w:r>
    </w:p>
    <w:p w14:paraId="5D3A848A" w14:textId="77777777" w:rsidR="00A51971" w:rsidRPr="000A0546" w:rsidRDefault="00A51971" w:rsidP="00A51971">
      <w:pPr>
        <w:spacing w:after="0" w:line="240" w:lineRule="auto"/>
        <w:rPr>
          <w:sz w:val="24"/>
          <w:szCs w:val="24"/>
        </w:rPr>
      </w:pPr>
      <w:r w:rsidRPr="000A0546">
        <w:rPr>
          <w:sz w:val="24"/>
          <w:szCs w:val="24"/>
        </w:rPr>
        <w:t>Then they laugh at you,</w:t>
      </w:r>
    </w:p>
    <w:p w14:paraId="28FB8C3C" w14:textId="77777777" w:rsidR="00A51971" w:rsidRPr="000A0546" w:rsidRDefault="00A51971" w:rsidP="00A51971">
      <w:pPr>
        <w:spacing w:after="0" w:line="240" w:lineRule="auto"/>
        <w:rPr>
          <w:sz w:val="24"/>
          <w:szCs w:val="24"/>
        </w:rPr>
      </w:pPr>
      <w:r w:rsidRPr="000A0546">
        <w:rPr>
          <w:sz w:val="24"/>
          <w:szCs w:val="24"/>
        </w:rPr>
        <w:t>Then they fight you,</w:t>
      </w:r>
    </w:p>
    <w:p w14:paraId="553F9510" w14:textId="77777777" w:rsidR="00A51971" w:rsidRPr="000A0546" w:rsidRDefault="00A51971" w:rsidP="00A51971">
      <w:pPr>
        <w:spacing w:after="0" w:line="240" w:lineRule="auto"/>
        <w:rPr>
          <w:sz w:val="24"/>
          <w:szCs w:val="24"/>
        </w:rPr>
      </w:pPr>
      <w:r w:rsidRPr="000A0546">
        <w:rPr>
          <w:sz w:val="24"/>
          <w:szCs w:val="24"/>
        </w:rPr>
        <w:t>Then you win.”</w:t>
      </w:r>
    </w:p>
    <w:p w14:paraId="41DC2B77" w14:textId="3128814C" w:rsidR="00A51971" w:rsidRDefault="00A51971" w:rsidP="00D947DE">
      <w:pPr>
        <w:rPr>
          <w:sz w:val="24"/>
          <w:szCs w:val="24"/>
        </w:rPr>
      </w:pPr>
      <w:r w:rsidRPr="000A0546">
        <w:rPr>
          <w:sz w:val="24"/>
          <w:szCs w:val="24"/>
        </w:rPr>
        <w:t>[</w:t>
      </w:r>
      <w:proofErr w:type="spellStart"/>
      <w:r w:rsidRPr="000A0546">
        <w:rPr>
          <w:sz w:val="24"/>
          <w:szCs w:val="24"/>
        </w:rPr>
        <w:t>Ghandi’s</w:t>
      </w:r>
      <w:proofErr w:type="spellEnd"/>
      <w:r w:rsidRPr="000A0546">
        <w:rPr>
          <w:sz w:val="24"/>
          <w:szCs w:val="24"/>
        </w:rPr>
        <w:t xml:space="preserve"> model for change]</w:t>
      </w:r>
    </w:p>
    <w:p w14:paraId="34099DD0" w14:textId="62B0BBFB" w:rsidR="009A4E87" w:rsidRPr="000A0546" w:rsidRDefault="009A4E87" w:rsidP="00D947DE">
      <w:pPr>
        <w:rPr>
          <w:sz w:val="24"/>
          <w:szCs w:val="24"/>
        </w:rPr>
      </w:pPr>
    </w:p>
    <w:p w14:paraId="367C430F" w14:textId="77777777" w:rsidR="00A51971" w:rsidRPr="000A0546" w:rsidRDefault="00A51971" w:rsidP="00A51971">
      <w:pPr>
        <w:spacing w:after="0" w:line="240" w:lineRule="auto"/>
        <w:rPr>
          <w:sz w:val="24"/>
          <w:szCs w:val="24"/>
        </w:rPr>
      </w:pPr>
      <w:r w:rsidRPr="000A0546">
        <w:rPr>
          <w:sz w:val="24"/>
          <w:szCs w:val="24"/>
        </w:rPr>
        <w:t>“The greatest mistake you can make in life is to be continually fearing you will make one.”</w:t>
      </w:r>
    </w:p>
    <w:p w14:paraId="2D82CD61" w14:textId="4A77A5C9" w:rsidR="00A51971" w:rsidRPr="000A0546" w:rsidRDefault="00A51971" w:rsidP="00A51971">
      <w:pPr>
        <w:spacing w:after="0" w:line="240" w:lineRule="auto"/>
        <w:rPr>
          <w:sz w:val="24"/>
          <w:szCs w:val="24"/>
        </w:rPr>
      </w:pPr>
      <w:r w:rsidRPr="000A0546">
        <w:rPr>
          <w:sz w:val="24"/>
          <w:szCs w:val="24"/>
        </w:rPr>
        <w:t>[Elbert Hubbard]</w:t>
      </w:r>
    </w:p>
    <w:p w14:paraId="0E0DC095" w14:textId="6FF80688" w:rsidR="00A51971" w:rsidRDefault="00A51971" w:rsidP="00A51971">
      <w:pPr>
        <w:spacing w:after="0" w:line="240" w:lineRule="auto"/>
        <w:rPr>
          <w:sz w:val="24"/>
          <w:szCs w:val="24"/>
        </w:rPr>
      </w:pPr>
    </w:p>
    <w:p w14:paraId="191F84AC" w14:textId="77777777" w:rsidR="009A4E87" w:rsidRPr="000A0546" w:rsidRDefault="009A4E87" w:rsidP="00A51971">
      <w:pPr>
        <w:spacing w:after="0" w:line="240" w:lineRule="auto"/>
        <w:rPr>
          <w:sz w:val="24"/>
          <w:szCs w:val="24"/>
        </w:rPr>
      </w:pPr>
    </w:p>
    <w:p w14:paraId="40A1CC66" w14:textId="77777777" w:rsidR="00A51971" w:rsidRPr="000A0546" w:rsidRDefault="00A51971" w:rsidP="00A51971">
      <w:pPr>
        <w:spacing w:after="0" w:line="240" w:lineRule="auto"/>
        <w:rPr>
          <w:sz w:val="24"/>
          <w:szCs w:val="24"/>
        </w:rPr>
      </w:pPr>
      <w:r w:rsidRPr="000A0546">
        <w:rPr>
          <w:sz w:val="24"/>
          <w:szCs w:val="24"/>
        </w:rPr>
        <w:t>“I know what I bring to the table, so trust me when I say I’m not afraid to east alone.”</w:t>
      </w:r>
    </w:p>
    <w:p w14:paraId="191C469B" w14:textId="6B1FF399" w:rsidR="00A51971" w:rsidRPr="000A0546" w:rsidRDefault="00A51971" w:rsidP="00A51971">
      <w:pPr>
        <w:spacing w:after="0" w:line="240" w:lineRule="auto"/>
        <w:rPr>
          <w:sz w:val="24"/>
          <w:szCs w:val="24"/>
        </w:rPr>
      </w:pPr>
      <w:r w:rsidRPr="000A0546">
        <w:rPr>
          <w:sz w:val="24"/>
          <w:szCs w:val="24"/>
        </w:rPr>
        <w:t>[Unknown]</w:t>
      </w:r>
    </w:p>
    <w:p w14:paraId="6CCD78DB" w14:textId="6931784C" w:rsidR="00A51971" w:rsidRDefault="00A51971" w:rsidP="00A51971">
      <w:pPr>
        <w:spacing w:after="0" w:line="240" w:lineRule="auto"/>
        <w:rPr>
          <w:sz w:val="24"/>
          <w:szCs w:val="24"/>
        </w:rPr>
      </w:pPr>
    </w:p>
    <w:p w14:paraId="29E0F632" w14:textId="77777777" w:rsidR="009A4E87" w:rsidRPr="000A0546" w:rsidRDefault="009A4E87" w:rsidP="00A51971">
      <w:pPr>
        <w:spacing w:after="0" w:line="240" w:lineRule="auto"/>
        <w:rPr>
          <w:sz w:val="24"/>
          <w:szCs w:val="24"/>
        </w:rPr>
      </w:pPr>
    </w:p>
    <w:p w14:paraId="21A24D84" w14:textId="77777777" w:rsidR="00A51971" w:rsidRPr="000A0546" w:rsidRDefault="00A51971" w:rsidP="00A51971">
      <w:pPr>
        <w:spacing w:after="0" w:line="240" w:lineRule="auto"/>
        <w:rPr>
          <w:sz w:val="24"/>
          <w:szCs w:val="24"/>
        </w:rPr>
      </w:pPr>
      <w:r w:rsidRPr="000A0546">
        <w:rPr>
          <w:sz w:val="24"/>
          <w:szCs w:val="24"/>
        </w:rPr>
        <w:t xml:space="preserve">“I have no idea what I’m supposed to do: I only know what I </w:t>
      </w:r>
      <w:r w:rsidRPr="000A0546">
        <w:rPr>
          <w:i/>
          <w:sz w:val="24"/>
          <w:szCs w:val="24"/>
        </w:rPr>
        <w:t>can</w:t>
      </w:r>
      <w:r w:rsidRPr="000A0546">
        <w:rPr>
          <w:sz w:val="24"/>
          <w:szCs w:val="24"/>
        </w:rPr>
        <w:t xml:space="preserve"> do.”</w:t>
      </w:r>
    </w:p>
    <w:p w14:paraId="783F5CF0" w14:textId="43D11DC8" w:rsidR="00A51971" w:rsidRPr="000A0546" w:rsidRDefault="00A51971" w:rsidP="00A51971">
      <w:pPr>
        <w:spacing w:after="0" w:line="240" w:lineRule="auto"/>
        <w:rPr>
          <w:sz w:val="24"/>
          <w:szCs w:val="24"/>
        </w:rPr>
      </w:pPr>
      <w:r w:rsidRPr="000A0546">
        <w:rPr>
          <w:sz w:val="24"/>
          <w:szCs w:val="24"/>
        </w:rPr>
        <w:t xml:space="preserve">[Captain James T. Kirk – </w:t>
      </w:r>
      <w:r w:rsidRPr="000A0546">
        <w:rPr>
          <w:i/>
          <w:sz w:val="24"/>
          <w:szCs w:val="24"/>
        </w:rPr>
        <w:t>Star Trek: Into Darkness</w:t>
      </w:r>
      <w:r w:rsidRPr="000A0546">
        <w:rPr>
          <w:sz w:val="24"/>
          <w:szCs w:val="24"/>
        </w:rPr>
        <w:t>]</w:t>
      </w:r>
    </w:p>
    <w:p w14:paraId="31DD5BC0" w14:textId="77777777" w:rsidR="00A51971" w:rsidRPr="000A0546" w:rsidRDefault="00A51971" w:rsidP="00A51971">
      <w:pPr>
        <w:spacing w:after="0" w:line="240" w:lineRule="auto"/>
        <w:rPr>
          <w:sz w:val="24"/>
          <w:szCs w:val="24"/>
        </w:rPr>
      </w:pPr>
    </w:p>
    <w:p w14:paraId="14159245" w14:textId="77777777" w:rsidR="00A51971" w:rsidRPr="000A0546" w:rsidRDefault="00A51971" w:rsidP="00A51971">
      <w:pPr>
        <w:spacing w:after="0" w:line="240" w:lineRule="auto"/>
        <w:rPr>
          <w:sz w:val="24"/>
          <w:szCs w:val="24"/>
        </w:rPr>
      </w:pPr>
    </w:p>
    <w:p w14:paraId="1A99196A" w14:textId="77777777" w:rsidR="00A51971" w:rsidRPr="000A0546" w:rsidRDefault="00A51971" w:rsidP="00A51971">
      <w:pPr>
        <w:spacing w:after="0" w:line="240" w:lineRule="auto"/>
        <w:rPr>
          <w:sz w:val="24"/>
          <w:szCs w:val="24"/>
        </w:rPr>
      </w:pPr>
      <w:r w:rsidRPr="000A0546">
        <w:rPr>
          <w:sz w:val="24"/>
          <w:szCs w:val="24"/>
        </w:rPr>
        <w:t>“Flying is learning how to throw yourself at the ground and miss.”</w:t>
      </w:r>
    </w:p>
    <w:p w14:paraId="7E70C1C2" w14:textId="77777777" w:rsidR="00A51971" w:rsidRPr="000A0546" w:rsidRDefault="00A51971" w:rsidP="00A51971">
      <w:pPr>
        <w:spacing w:after="0" w:line="240" w:lineRule="auto"/>
        <w:rPr>
          <w:sz w:val="24"/>
          <w:szCs w:val="24"/>
        </w:rPr>
      </w:pPr>
      <w:r w:rsidRPr="000A0546">
        <w:rPr>
          <w:sz w:val="24"/>
          <w:szCs w:val="24"/>
        </w:rPr>
        <w:t>[Douglas Adams]</w:t>
      </w:r>
    </w:p>
    <w:p w14:paraId="3C2897A5" w14:textId="77777777" w:rsidR="00A51971" w:rsidRPr="000A0546" w:rsidRDefault="00A51971" w:rsidP="00A51971">
      <w:pPr>
        <w:spacing w:after="0" w:line="240" w:lineRule="auto"/>
        <w:rPr>
          <w:sz w:val="24"/>
          <w:szCs w:val="24"/>
        </w:rPr>
      </w:pPr>
    </w:p>
    <w:p w14:paraId="7C4E6FE7" w14:textId="77777777" w:rsidR="00A51971" w:rsidRPr="000A0546" w:rsidRDefault="00A51971" w:rsidP="00A51971">
      <w:pPr>
        <w:spacing w:after="0" w:line="240" w:lineRule="auto"/>
        <w:rPr>
          <w:sz w:val="24"/>
          <w:szCs w:val="24"/>
        </w:rPr>
      </w:pPr>
    </w:p>
    <w:p w14:paraId="6827DE63" w14:textId="77777777" w:rsidR="00A51971" w:rsidRPr="000A0546" w:rsidRDefault="00A51971" w:rsidP="00A51971">
      <w:pPr>
        <w:spacing w:after="0" w:line="240" w:lineRule="auto"/>
        <w:rPr>
          <w:sz w:val="24"/>
          <w:szCs w:val="24"/>
        </w:rPr>
      </w:pPr>
      <w:r w:rsidRPr="000A0546">
        <w:rPr>
          <w:sz w:val="24"/>
          <w:szCs w:val="24"/>
        </w:rPr>
        <w:t>“Sometimes I win; sometimes I learn.”</w:t>
      </w:r>
    </w:p>
    <w:p w14:paraId="5C8B6457" w14:textId="77777777" w:rsidR="00A51971" w:rsidRPr="000A0546" w:rsidRDefault="00A51971" w:rsidP="00A51971">
      <w:pPr>
        <w:spacing w:after="0" w:line="240" w:lineRule="auto"/>
        <w:rPr>
          <w:sz w:val="24"/>
          <w:szCs w:val="24"/>
        </w:rPr>
      </w:pPr>
      <w:r w:rsidRPr="000A0546">
        <w:rPr>
          <w:sz w:val="24"/>
          <w:szCs w:val="24"/>
        </w:rPr>
        <w:t>[Colleague]</w:t>
      </w:r>
    </w:p>
    <w:p w14:paraId="79A24067" w14:textId="77777777" w:rsidR="00A51971" w:rsidRPr="000A0546" w:rsidRDefault="00A51971" w:rsidP="00A51971">
      <w:pPr>
        <w:spacing w:after="0" w:line="240" w:lineRule="auto"/>
        <w:rPr>
          <w:sz w:val="24"/>
          <w:szCs w:val="24"/>
        </w:rPr>
      </w:pPr>
    </w:p>
    <w:p w14:paraId="608D9FF5" w14:textId="77777777" w:rsidR="00174ADE" w:rsidRPr="000A0546" w:rsidRDefault="00174ADE" w:rsidP="00A51971">
      <w:pPr>
        <w:spacing w:after="0" w:line="240" w:lineRule="auto"/>
        <w:rPr>
          <w:sz w:val="24"/>
          <w:szCs w:val="24"/>
        </w:rPr>
      </w:pPr>
    </w:p>
    <w:p w14:paraId="343E739D" w14:textId="77777777" w:rsidR="00A51971" w:rsidRPr="000A0546" w:rsidRDefault="00A51971" w:rsidP="00A51971">
      <w:pPr>
        <w:spacing w:after="0" w:line="240" w:lineRule="auto"/>
        <w:rPr>
          <w:sz w:val="24"/>
          <w:szCs w:val="24"/>
        </w:rPr>
      </w:pPr>
      <w:r w:rsidRPr="000A0546">
        <w:rPr>
          <w:sz w:val="24"/>
          <w:szCs w:val="24"/>
        </w:rPr>
        <w:t>“Proximity confers legitimacy.”</w:t>
      </w:r>
    </w:p>
    <w:p w14:paraId="5AE6204E" w14:textId="77777777" w:rsidR="00A51971" w:rsidRPr="000A0546" w:rsidRDefault="00A51971" w:rsidP="00A51971">
      <w:pPr>
        <w:spacing w:after="0" w:line="240" w:lineRule="auto"/>
        <w:rPr>
          <w:sz w:val="24"/>
          <w:szCs w:val="24"/>
        </w:rPr>
      </w:pPr>
      <w:r w:rsidRPr="000A0546">
        <w:rPr>
          <w:sz w:val="24"/>
          <w:szCs w:val="24"/>
        </w:rPr>
        <w:t>[Gavin Newsom]</w:t>
      </w:r>
    </w:p>
    <w:p w14:paraId="3E5274CB" w14:textId="77777777" w:rsidR="00174ADE" w:rsidRPr="000A0546" w:rsidRDefault="00174ADE" w:rsidP="00A51971">
      <w:pPr>
        <w:spacing w:after="0" w:line="240" w:lineRule="auto"/>
        <w:rPr>
          <w:sz w:val="24"/>
          <w:szCs w:val="24"/>
        </w:rPr>
      </w:pPr>
    </w:p>
    <w:p w14:paraId="7C575E7E" w14:textId="77777777" w:rsidR="00174ADE" w:rsidRPr="000A0546" w:rsidRDefault="00174ADE" w:rsidP="00A51971">
      <w:pPr>
        <w:spacing w:after="0" w:line="240" w:lineRule="auto"/>
        <w:rPr>
          <w:sz w:val="24"/>
          <w:szCs w:val="24"/>
        </w:rPr>
      </w:pPr>
    </w:p>
    <w:p w14:paraId="3ED1044E" w14:textId="77777777" w:rsidR="00174ADE" w:rsidRPr="000A0546" w:rsidRDefault="00174ADE" w:rsidP="00A51971">
      <w:pPr>
        <w:spacing w:after="0" w:line="240" w:lineRule="auto"/>
        <w:rPr>
          <w:sz w:val="24"/>
          <w:szCs w:val="24"/>
        </w:rPr>
      </w:pPr>
      <w:r w:rsidRPr="000A0546">
        <w:rPr>
          <w:sz w:val="24"/>
          <w:szCs w:val="24"/>
        </w:rPr>
        <w:t>“Our greatest glory is not in never falling but in rising every time we fall.”</w:t>
      </w:r>
    </w:p>
    <w:p w14:paraId="739EF9FA" w14:textId="303FE180" w:rsidR="00174ADE" w:rsidRPr="000A0546" w:rsidRDefault="00174ADE" w:rsidP="00A51971">
      <w:pPr>
        <w:spacing w:after="0" w:line="240" w:lineRule="auto"/>
        <w:rPr>
          <w:sz w:val="24"/>
          <w:szCs w:val="24"/>
        </w:rPr>
      </w:pPr>
      <w:r w:rsidRPr="000A0546">
        <w:rPr>
          <w:sz w:val="24"/>
          <w:szCs w:val="24"/>
        </w:rPr>
        <w:t xml:space="preserve">[Castiel – </w:t>
      </w:r>
      <w:r w:rsidRPr="000A0546">
        <w:rPr>
          <w:i/>
          <w:sz w:val="24"/>
          <w:szCs w:val="24"/>
        </w:rPr>
        <w:t>Supernatural</w:t>
      </w:r>
      <w:r w:rsidRPr="000A0546">
        <w:rPr>
          <w:sz w:val="24"/>
          <w:szCs w:val="24"/>
        </w:rPr>
        <w:t>]</w:t>
      </w:r>
    </w:p>
    <w:p w14:paraId="1A18300B" w14:textId="2CF7E20D" w:rsidR="000A0546" w:rsidRPr="000A0546" w:rsidRDefault="000A0546" w:rsidP="00A51971">
      <w:pPr>
        <w:spacing w:after="0" w:line="240" w:lineRule="auto"/>
        <w:rPr>
          <w:sz w:val="24"/>
          <w:szCs w:val="24"/>
        </w:rPr>
      </w:pPr>
      <w:bookmarkStart w:id="0" w:name="_GoBack"/>
      <w:bookmarkEnd w:id="0"/>
    </w:p>
    <w:p w14:paraId="4ACF58AC" w14:textId="77777777" w:rsidR="000A0546" w:rsidRDefault="000A0546" w:rsidP="00A51971">
      <w:pPr>
        <w:spacing w:after="0" w:line="240" w:lineRule="auto"/>
        <w:rPr>
          <w:b/>
          <w:bCs/>
          <w:sz w:val="24"/>
          <w:szCs w:val="24"/>
        </w:rPr>
      </w:pPr>
    </w:p>
    <w:p w14:paraId="40EC7579" w14:textId="0CE1BAFE" w:rsidR="000A0546" w:rsidRPr="000A0546" w:rsidRDefault="000A0546" w:rsidP="00A51971">
      <w:pPr>
        <w:spacing w:after="0" w:line="240" w:lineRule="auto"/>
        <w:rPr>
          <w:rFonts w:cstheme="minorHAnsi"/>
          <w:b/>
          <w:bCs/>
          <w:sz w:val="24"/>
          <w:szCs w:val="24"/>
        </w:rPr>
      </w:pPr>
      <w:r w:rsidRPr="000A0546">
        <w:rPr>
          <w:b/>
          <w:bCs/>
          <w:sz w:val="24"/>
          <w:szCs w:val="24"/>
        </w:rPr>
        <w:t xml:space="preserve">Inspiration from </w:t>
      </w:r>
      <w:r w:rsidRPr="000A0546">
        <w:rPr>
          <w:rFonts w:cstheme="minorHAnsi"/>
          <w:b/>
          <w:bCs/>
          <w:sz w:val="24"/>
          <w:szCs w:val="24"/>
        </w:rPr>
        <w:t xml:space="preserve">R. David </w:t>
      </w:r>
      <w:proofErr w:type="spellStart"/>
      <w:r w:rsidRPr="000A0546">
        <w:rPr>
          <w:rFonts w:cstheme="minorHAnsi"/>
          <w:b/>
          <w:bCs/>
          <w:sz w:val="24"/>
          <w:szCs w:val="24"/>
        </w:rPr>
        <w:t>Lankes</w:t>
      </w:r>
      <w:proofErr w:type="spellEnd"/>
    </w:p>
    <w:p w14:paraId="0A73D60A" w14:textId="77777777" w:rsidR="000A0546" w:rsidRPr="000A0546" w:rsidRDefault="000A0546" w:rsidP="00A51971">
      <w:pPr>
        <w:spacing w:after="0" w:line="240" w:lineRule="auto"/>
        <w:rPr>
          <w:sz w:val="24"/>
          <w:szCs w:val="24"/>
        </w:rPr>
      </w:pPr>
    </w:p>
    <w:p w14:paraId="36AEDF95" w14:textId="77777777" w:rsidR="000A0546" w:rsidRPr="000A0546" w:rsidRDefault="000A0546" w:rsidP="000A0546">
      <w:pPr>
        <w:pStyle w:val="Default"/>
        <w:rPr>
          <w:rFonts w:ascii="Georgia" w:hAnsi="Georgia" w:cstheme="minorHAnsi"/>
          <w:sz w:val="23"/>
          <w:szCs w:val="23"/>
        </w:rPr>
      </w:pPr>
      <w:r w:rsidRPr="000A0546">
        <w:rPr>
          <w:rFonts w:ascii="Georgia" w:hAnsi="Georgia" w:cstheme="minorHAnsi"/>
          <w:sz w:val="23"/>
          <w:szCs w:val="23"/>
        </w:rPr>
        <w:t xml:space="preserve">“…Having agreed that advocacy is essential, how do we do it? Research and experience both affirm some basics. </w:t>
      </w:r>
    </w:p>
    <w:p w14:paraId="6DC431A4"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First things first: people do things for their reasons, not our reasons. Like librarianship, advocacy is all about what’s important to </w:t>
      </w:r>
      <w:r w:rsidRPr="000A0546">
        <w:rPr>
          <w:rFonts w:ascii="Georgia" w:hAnsi="Georgia" w:cstheme="minorHAnsi"/>
          <w:i/>
          <w:iCs/>
          <w:sz w:val="23"/>
          <w:szCs w:val="23"/>
        </w:rPr>
        <w:t>them</w:t>
      </w:r>
      <w:r w:rsidRPr="000A0546">
        <w:rPr>
          <w:rFonts w:ascii="Georgia" w:hAnsi="Georgia" w:cstheme="minorHAnsi"/>
          <w:sz w:val="23"/>
          <w:szCs w:val="23"/>
        </w:rPr>
        <w:t xml:space="preserve">. We need to understand their reasons. </w:t>
      </w:r>
    </w:p>
    <w:p w14:paraId="1AB14A9B"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It may seem blindingly obvious, but we need to know who has the power to make the decisions we seek, and who and what influences them. Usually, the most important decision makers are </w:t>
      </w:r>
      <w:proofErr w:type="gramStart"/>
      <w:r w:rsidRPr="000A0546">
        <w:rPr>
          <w:rFonts w:ascii="Georgia" w:hAnsi="Georgia" w:cstheme="minorHAnsi"/>
          <w:sz w:val="23"/>
          <w:szCs w:val="23"/>
        </w:rPr>
        <w:t>few in number</w:t>
      </w:r>
      <w:proofErr w:type="gramEnd"/>
      <w:r w:rsidRPr="000A0546">
        <w:rPr>
          <w:rFonts w:ascii="Georgia" w:hAnsi="Georgia" w:cstheme="minorHAnsi"/>
          <w:sz w:val="23"/>
          <w:szCs w:val="23"/>
        </w:rPr>
        <w:t xml:space="preserve">. So we waste time if we try to convince “everyone.” </w:t>
      </w:r>
    </w:p>
    <w:p w14:paraId="1E87D0B0"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To understand and respond to what is important to those who make policy, financial, or partnership decisions, we must get into conversation with them, and listen to what they have to say. Then we </w:t>
      </w:r>
      <w:proofErr w:type="gramStart"/>
      <w:r w:rsidRPr="000A0546">
        <w:rPr>
          <w:rFonts w:ascii="Georgia" w:hAnsi="Georgia" w:cstheme="minorHAnsi"/>
          <w:sz w:val="23"/>
          <w:szCs w:val="23"/>
        </w:rPr>
        <w:t>reflect back</w:t>
      </w:r>
      <w:proofErr w:type="gramEnd"/>
      <w:r w:rsidRPr="000A0546">
        <w:rPr>
          <w:rFonts w:ascii="Georgia" w:hAnsi="Georgia" w:cstheme="minorHAnsi"/>
          <w:sz w:val="23"/>
          <w:szCs w:val="23"/>
        </w:rPr>
        <w:t xml:space="preserve"> to them the ways in which we match their priorities. </w:t>
      </w:r>
    </w:p>
    <w:p w14:paraId="5B5DA223"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The people who use a service and those who will go to bat for it are different people. This may be surprising, but it’s true. We have research on this. When seeking support, therefore, engage as advocates those most likely to step up. Generally, these are activists who have a long history of involvement and who </w:t>
      </w:r>
      <w:proofErr w:type="gramStart"/>
      <w:r w:rsidRPr="000A0546">
        <w:rPr>
          <w:rFonts w:ascii="Georgia" w:hAnsi="Georgia" w:cstheme="minorHAnsi"/>
          <w:sz w:val="23"/>
          <w:szCs w:val="23"/>
        </w:rPr>
        <w:t>are connected with</w:t>
      </w:r>
      <w:proofErr w:type="gramEnd"/>
      <w:r w:rsidRPr="000A0546">
        <w:rPr>
          <w:rFonts w:ascii="Georgia" w:hAnsi="Georgia" w:cstheme="minorHAnsi"/>
          <w:sz w:val="23"/>
          <w:szCs w:val="23"/>
        </w:rPr>
        <w:t xml:space="preserve"> many others (Malcolm Gladwell calls them ‘Connectors’ and ‘Mavens’). </w:t>
      </w:r>
    </w:p>
    <w:p w14:paraId="32220D61"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We </w:t>
      </w:r>
      <w:proofErr w:type="gramStart"/>
      <w:r w:rsidRPr="000A0546">
        <w:rPr>
          <w:rFonts w:ascii="Georgia" w:hAnsi="Georgia" w:cstheme="minorHAnsi"/>
          <w:sz w:val="23"/>
          <w:szCs w:val="23"/>
        </w:rPr>
        <w:t>have to</w:t>
      </w:r>
      <w:proofErr w:type="gramEnd"/>
      <w:r w:rsidRPr="000A0546">
        <w:rPr>
          <w:rFonts w:ascii="Georgia" w:hAnsi="Georgia" w:cstheme="minorHAnsi"/>
          <w:sz w:val="23"/>
          <w:szCs w:val="23"/>
        </w:rPr>
        <w:t xml:space="preserve"> position our cause in terms of what’s important to our audience, not to us. If they care about improving early childhood reading readiness, for example, we need to position our work in that area as an asset worthy of engagement and support, and use their language when we talk about it. </w:t>
      </w:r>
    </w:p>
    <w:p w14:paraId="5F6814F5"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We must frame the case in the community’s interests, using the community’s situation and aspirations as our starting point. How do we know about the community members’ aspirations? We’ve talked with them, we’ve heard them, and we’re able to use their language. </w:t>
      </w:r>
    </w:p>
    <w:p w14:paraId="36F8E939"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It’s all about relationships. Advocates build relationships of credibility and trust with decision makers and those who influence them. After all, we’re more inclined to believe those with whom we already have trusting relationships. Credibility is earned incrementally, and it’s never automatic. </w:t>
      </w:r>
    </w:p>
    <w:p w14:paraId="061810F8"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Passion matters. Librarians who are passionate and engaged in their communities are, according to research, most likely to engage the support of others. </w:t>
      </w:r>
    </w:p>
    <w:p w14:paraId="644FA4BA" w14:textId="77777777" w:rsidR="000A0546" w:rsidRPr="000A0546" w:rsidRDefault="000A0546" w:rsidP="000A0546">
      <w:pPr>
        <w:pStyle w:val="Default"/>
        <w:numPr>
          <w:ilvl w:val="0"/>
          <w:numId w:val="1"/>
        </w:numPr>
        <w:spacing w:after="47"/>
        <w:rPr>
          <w:rFonts w:ascii="Georgia" w:hAnsi="Georgia" w:cstheme="minorHAnsi"/>
          <w:sz w:val="23"/>
          <w:szCs w:val="23"/>
        </w:rPr>
      </w:pPr>
      <w:r w:rsidRPr="000A0546">
        <w:rPr>
          <w:rFonts w:ascii="Georgia" w:hAnsi="Georgia" w:cstheme="minorHAnsi"/>
          <w:sz w:val="23"/>
          <w:szCs w:val="23"/>
        </w:rPr>
        <w:t xml:space="preserve">Advocates must have both data and stories, and know how to insert them opportunely. Stories of transformative impact are memorable; they give life to data. But data are fundamental to accountability, and they are more effective with some decision makers than stories. As data librarian extraordinaire Kimberly Silk says, ‘You need data and stories. The data make the stories real and the stories make the data matter.’ </w:t>
      </w:r>
    </w:p>
    <w:p w14:paraId="5E6F5AF8" w14:textId="77777777" w:rsidR="000A0546" w:rsidRPr="000A0546" w:rsidRDefault="000A0546" w:rsidP="000A0546">
      <w:pPr>
        <w:pStyle w:val="Default"/>
        <w:numPr>
          <w:ilvl w:val="0"/>
          <w:numId w:val="1"/>
        </w:numPr>
        <w:rPr>
          <w:rFonts w:ascii="Georgia" w:hAnsi="Georgia" w:cstheme="minorHAnsi"/>
          <w:sz w:val="23"/>
          <w:szCs w:val="23"/>
        </w:rPr>
      </w:pPr>
      <w:r w:rsidRPr="000A0546">
        <w:rPr>
          <w:rFonts w:ascii="Georgia" w:hAnsi="Georgia" w:cstheme="minorHAnsi"/>
          <w:sz w:val="23"/>
          <w:szCs w:val="23"/>
        </w:rPr>
        <w:t xml:space="preserve">In an environment of ‘noise,’ people cope by simplifying. Therefore, advocates must convey their messages in short, personal, memorable, and powerful sound bites. …” </w:t>
      </w:r>
    </w:p>
    <w:p w14:paraId="7101CF68" w14:textId="77777777" w:rsidR="000A0546" w:rsidRPr="000A0546" w:rsidRDefault="000A0546" w:rsidP="000A0546">
      <w:pPr>
        <w:pStyle w:val="Default"/>
        <w:rPr>
          <w:rFonts w:ascii="Georgia" w:hAnsi="Georgia" w:cstheme="minorHAnsi"/>
          <w:sz w:val="23"/>
          <w:szCs w:val="23"/>
        </w:rPr>
      </w:pPr>
    </w:p>
    <w:p w14:paraId="6D7EB786" w14:textId="15C01126" w:rsidR="000A0546" w:rsidRPr="000A0546" w:rsidRDefault="000A0546" w:rsidP="000A0546">
      <w:pPr>
        <w:rPr>
          <w:rFonts w:cstheme="minorHAnsi"/>
          <w:sz w:val="23"/>
          <w:szCs w:val="23"/>
        </w:rPr>
      </w:pPr>
      <w:r w:rsidRPr="000A0546">
        <w:rPr>
          <w:rFonts w:cstheme="minorHAnsi"/>
          <w:sz w:val="23"/>
          <w:szCs w:val="23"/>
        </w:rPr>
        <w:t xml:space="preserve">[R. David </w:t>
      </w:r>
      <w:proofErr w:type="spellStart"/>
      <w:r w:rsidRPr="000A0546">
        <w:rPr>
          <w:rFonts w:cstheme="minorHAnsi"/>
          <w:sz w:val="23"/>
          <w:szCs w:val="23"/>
        </w:rPr>
        <w:t>Lankes</w:t>
      </w:r>
      <w:proofErr w:type="spellEnd"/>
      <w:r w:rsidRPr="000A0546">
        <w:rPr>
          <w:rFonts w:cstheme="minorHAnsi"/>
          <w:sz w:val="23"/>
          <w:szCs w:val="23"/>
        </w:rPr>
        <w:t xml:space="preserve"> – </w:t>
      </w:r>
      <w:hyperlink r:id="rId6" w:history="1">
        <w:r w:rsidRPr="000A0546">
          <w:rPr>
            <w:rStyle w:val="Hyperlink"/>
            <w:rFonts w:cstheme="minorHAnsi"/>
            <w:sz w:val="23"/>
            <w:szCs w:val="23"/>
          </w:rPr>
          <w:t>The New Librarianship Field Guide</w:t>
        </w:r>
      </w:hyperlink>
      <w:r w:rsidRPr="000A0546">
        <w:rPr>
          <w:rFonts w:cstheme="minorHAnsi"/>
          <w:sz w:val="23"/>
          <w:szCs w:val="23"/>
        </w:rPr>
        <w:t xml:space="preserve"> – pp, 86-7 – MIT Press © 2016]</w:t>
      </w:r>
    </w:p>
    <w:p w14:paraId="707F4159" w14:textId="77777777" w:rsidR="000A0546" w:rsidRPr="00A51971" w:rsidRDefault="000A0546" w:rsidP="00A51971">
      <w:pPr>
        <w:spacing w:after="0" w:line="240" w:lineRule="auto"/>
        <w:rPr>
          <w:sz w:val="24"/>
          <w:szCs w:val="24"/>
        </w:rPr>
      </w:pPr>
    </w:p>
    <w:sectPr w:rsidR="000A0546" w:rsidRPr="00A51971" w:rsidSect="009A4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F31707"/>
    <w:multiLevelType w:val="hybridMultilevel"/>
    <w:tmpl w:val="5B34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C23"/>
    <w:rsid w:val="00095C23"/>
    <w:rsid w:val="000A0546"/>
    <w:rsid w:val="00174ADE"/>
    <w:rsid w:val="002252F3"/>
    <w:rsid w:val="00321CFE"/>
    <w:rsid w:val="003A6719"/>
    <w:rsid w:val="00661CC9"/>
    <w:rsid w:val="0074029E"/>
    <w:rsid w:val="009A4E87"/>
    <w:rsid w:val="00A51971"/>
    <w:rsid w:val="00AF1B45"/>
    <w:rsid w:val="00D947DE"/>
    <w:rsid w:val="00F9033A"/>
    <w:rsid w:val="00FE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A38D"/>
  <w15:chartTrackingRefBased/>
  <w15:docId w15:val="{285F12B5-4D40-4813-83D6-F33BE319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ajorBidi"/>
        <w:color w:val="000000" w:themeColor="text1"/>
        <w:spacing w:val="-10"/>
        <w:kern w:val="28"/>
        <w:sz w:val="22"/>
        <w:szCs w:val="56"/>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05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546"/>
    <w:rPr>
      <w:rFonts w:ascii="Segoe UI" w:hAnsi="Segoe UI" w:cs="Segoe UI"/>
      <w:sz w:val="18"/>
      <w:szCs w:val="18"/>
    </w:rPr>
  </w:style>
  <w:style w:type="table" w:styleId="TableGrid">
    <w:name w:val="Table Grid"/>
    <w:basedOn w:val="TableNormal"/>
    <w:uiPriority w:val="59"/>
    <w:rsid w:val="000A0546"/>
    <w:pPr>
      <w:spacing w:after="0" w:line="240" w:lineRule="auto"/>
    </w:pPr>
    <w:rPr>
      <w:rFonts w:asciiTheme="minorHAnsi" w:eastAsiaTheme="minorEastAsia" w:hAnsiTheme="minorHAnsi" w:cstheme="minorBidi"/>
      <w:color w:val="auto"/>
      <w:spacing w:val="0"/>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546"/>
    <w:pPr>
      <w:autoSpaceDE w:val="0"/>
      <w:autoSpaceDN w:val="0"/>
      <w:adjustRightInd w:val="0"/>
      <w:spacing w:after="0" w:line="240" w:lineRule="auto"/>
    </w:pPr>
    <w:rPr>
      <w:rFonts w:ascii="Arial" w:eastAsiaTheme="minorEastAsia" w:hAnsi="Arial" w:cs="Arial"/>
      <w:color w:val="000000"/>
      <w:spacing w:val="0"/>
      <w:kern w:val="0"/>
      <w:sz w:val="24"/>
      <w:szCs w:val="24"/>
    </w:rPr>
  </w:style>
  <w:style w:type="character" w:styleId="Hyperlink">
    <w:name w:val="Hyperlink"/>
    <w:basedOn w:val="DefaultParagraphFont"/>
    <w:uiPriority w:val="99"/>
    <w:unhideWhenUsed/>
    <w:rsid w:val="000A0546"/>
    <w:rPr>
      <w:color w:val="0563C1" w:themeColor="hyperlink"/>
      <w:u w:val="single"/>
    </w:rPr>
  </w:style>
  <w:style w:type="character" w:styleId="UnresolvedMention">
    <w:name w:val="Unresolved Mention"/>
    <w:basedOn w:val="DefaultParagraphFont"/>
    <w:uiPriority w:val="99"/>
    <w:semiHidden/>
    <w:unhideWhenUsed/>
    <w:rsid w:val="000A0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9027">
      <w:bodyDiv w:val="1"/>
      <w:marLeft w:val="0"/>
      <w:marRight w:val="0"/>
      <w:marTop w:val="0"/>
      <w:marBottom w:val="0"/>
      <w:divBdr>
        <w:top w:val="none" w:sz="0" w:space="0" w:color="auto"/>
        <w:left w:val="none" w:sz="0" w:space="0" w:color="auto"/>
        <w:bottom w:val="none" w:sz="0" w:space="0" w:color="auto"/>
        <w:right w:val="none" w:sz="0" w:space="0" w:color="auto"/>
      </w:divBdr>
    </w:div>
    <w:div w:id="177636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cat.org/oclc/93344663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Lisa M</dc:creator>
  <cp:keywords/>
  <dc:description/>
  <cp:lastModifiedBy>Peterson,Jennifer</cp:lastModifiedBy>
  <cp:revision>3</cp:revision>
  <dcterms:created xsi:type="dcterms:W3CDTF">2019-11-05T22:48:00Z</dcterms:created>
  <dcterms:modified xsi:type="dcterms:W3CDTF">2019-11-05T23:30:00Z</dcterms:modified>
</cp:coreProperties>
</file>