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ACE48" w14:textId="77777777" w:rsidR="001C7008" w:rsidRPr="00680C9A" w:rsidRDefault="001C7008" w:rsidP="009F68DE">
      <w:pPr>
        <w:spacing w:line="240" w:lineRule="auto"/>
        <w:contextualSpacing/>
        <w:rPr>
          <w:rFonts w:asciiTheme="majorHAnsi" w:eastAsiaTheme="majorEastAsia" w:hAnsiTheme="majorHAnsi" w:cstheme="majorBidi"/>
          <w:b/>
          <w:bCs/>
          <w:color w:val="365F91" w:themeColor="accent1" w:themeShade="BF"/>
          <w:sz w:val="28"/>
          <w:szCs w:val="28"/>
        </w:rPr>
      </w:pPr>
      <w:r w:rsidRPr="008C68E5">
        <w:rPr>
          <w:rFonts w:asciiTheme="majorHAnsi" w:eastAsiaTheme="majorEastAsia" w:hAnsiTheme="majorHAnsi" w:cstheme="majorBidi"/>
          <w:b/>
          <w:bCs/>
          <w:color w:val="365F91" w:themeColor="accent1" w:themeShade="BF"/>
          <w:sz w:val="28"/>
          <w:szCs w:val="28"/>
        </w:rPr>
        <w:t>Advocacy 101: When Advocacy Becomes Second Nature</w:t>
      </w:r>
      <w:r w:rsidRPr="00680C9A">
        <w:rPr>
          <w:rFonts w:asciiTheme="majorHAnsi" w:eastAsiaTheme="majorEastAsia" w:hAnsiTheme="majorHAnsi" w:cstheme="majorBidi"/>
          <w:b/>
          <w:bCs/>
          <w:color w:val="365F91" w:themeColor="accent1" w:themeShade="BF"/>
          <w:sz w:val="28"/>
          <w:szCs w:val="28"/>
        </w:rPr>
        <w:t xml:space="preserve"> </w:t>
      </w:r>
      <w:hyperlink r:id="rId8" w:history="1">
        <w:r w:rsidRPr="00154887">
          <w:rPr>
            <w:rStyle w:val="Hyperlink"/>
          </w:rPr>
          <w:t>https://www.webjunction.org/events/webjunction/advocacy-101.html</w:t>
        </w:r>
      </w:hyperlink>
      <w:r>
        <w:t xml:space="preserve"> </w:t>
      </w:r>
    </w:p>
    <w:p w14:paraId="40088E27" w14:textId="77777777" w:rsidR="001C7008" w:rsidRPr="008C68E5" w:rsidRDefault="001C7008" w:rsidP="009F68DE">
      <w:pPr>
        <w:pStyle w:val="NormalWeb"/>
        <w:rPr>
          <w:rFonts w:asciiTheme="minorHAnsi" w:hAnsiTheme="minorHAnsi" w:cstheme="minorHAnsi"/>
          <w:sz w:val="22"/>
          <w:szCs w:val="22"/>
        </w:rPr>
      </w:pPr>
      <w:r w:rsidRPr="008C68E5">
        <w:rPr>
          <w:rFonts w:asciiTheme="minorHAnsi" w:hAnsiTheme="minorHAnsi" w:cstheme="minorHAnsi"/>
          <w:b/>
          <w:color w:val="000000"/>
          <w:sz w:val="22"/>
          <w:szCs w:val="22"/>
        </w:rPr>
        <w:t>Event Description</w:t>
      </w:r>
      <w:r w:rsidRPr="008C68E5">
        <w:rPr>
          <w:rFonts w:asciiTheme="minorHAnsi" w:hAnsiTheme="minorHAnsi" w:cstheme="minorHAnsi"/>
          <w:color w:val="000000"/>
          <w:sz w:val="22"/>
          <w:szCs w:val="22"/>
        </w:rPr>
        <w:t xml:space="preserve">: </w:t>
      </w:r>
      <w:r w:rsidRPr="008C68E5">
        <w:rPr>
          <w:rFonts w:asciiTheme="minorHAnsi" w:hAnsiTheme="minorHAnsi" w:cstheme="minorHAnsi"/>
          <w:sz w:val="22"/>
          <w:szCs w:val="22"/>
        </w:rPr>
        <w:t>If advocacy is a scary word to you, this webinar may change your feelings about it. Advocating for increased support for your library is an action that promotes the library’s success and contributes to your own enhanced ability to do your job well, with improved resources. Join us for this webinar to help your library begin to build advocacy into your everyday routines. Learn about inexpensive ideas and activities, how to tap into the Friends of the Library and other groups, and how to figure out what matters to “them” (i.e. funding partners, community, grantors). Before you know it, you will be advocating like a natural.</w:t>
      </w:r>
    </w:p>
    <w:p w14:paraId="23423A86" w14:textId="77777777" w:rsidR="001C7008" w:rsidRPr="008C68E5" w:rsidRDefault="001C7008" w:rsidP="009F68DE">
      <w:pPr>
        <w:pStyle w:val="NormalWeb"/>
        <w:rPr>
          <w:rFonts w:asciiTheme="minorHAnsi" w:hAnsiTheme="minorHAnsi" w:cstheme="minorHAnsi"/>
          <w:sz w:val="22"/>
          <w:szCs w:val="22"/>
        </w:rPr>
      </w:pPr>
      <w:r w:rsidRPr="008C68E5">
        <w:rPr>
          <w:rFonts w:asciiTheme="minorHAnsi" w:hAnsiTheme="minorHAnsi" w:cstheme="minorHAnsi"/>
          <w:sz w:val="22"/>
          <w:szCs w:val="22"/>
        </w:rPr>
        <w:t xml:space="preserve">A webinar presented in collaboration with the </w:t>
      </w:r>
      <w:hyperlink r:id="rId9" w:tgtFrame="_blank" w:history="1">
        <w:r w:rsidRPr="008C68E5">
          <w:rPr>
            <w:rStyle w:val="Hyperlink"/>
            <w:rFonts w:asciiTheme="minorHAnsi" w:hAnsiTheme="minorHAnsi" w:cstheme="minorHAnsi"/>
            <w:sz w:val="22"/>
            <w:szCs w:val="22"/>
          </w:rPr>
          <w:t>Association for Rural &amp; Small Libraries</w:t>
        </w:r>
      </w:hyperlink>
      <w:r w:rsidRPr="008C68E5">
        <w:rPr>
          <w:rFonts w:asciiTheme="minorHAnsi" w:hAnsiTheme="minorHAnsi" w:cstheme="minorHAnsi"/>
          <w:sz w:val="22"/>
          <w:szCs w:val="22"/>
        </w:rPr>
        <w:t>.</w:t>
      </w:r>
    </w:p>
    <w:p w14:paraId="3ECBDDAD" w14:textId="77777777" w:rsidR="001C7008" w:rsidRPr="008C68E5" w:rsidRDefault="001C7008" w:rsidP="001C7008">
      <w:pPr>
        <w:pStyle w:val="NormalWeb"/>
        <w:rPr>
          <w:rFonts w:asciiTheme="minorHAnsi" w:hAnsiTheme="minorHAnsi" w:cstheme="minorHAnsi"/>
          <w:sz w:val="22"/>
          <w:szCs w:val="22"/>
        </w:rPr>
      </w:pPr>
      <w:r w:rsidRPr="008C68E5">
        <w:rPr>
          <w:rFonts w:asciiTheme="minorHAnsi" w:hAnsiTheme="minorHAnsi" w:cstheme="minorHAnsi"/>
          <w:b/>
          <w:bCs/>
          <w:sz w:val="22"/>
          <w:szCs w:val="22"/>
        </w:rPr>
        <w:t xml:space="preserve">Presented </w:t>
      </w:r>
      <w:proofErr w:type="gramStart"/>
      <w:r w:rsidRPr="008C68E5">
        <w:rPr>
          <w:rFonts w:asciiTheme="minorHAnsi" w:hAnsiTheme="minorHAnsi" w:cstheme="minorHAnsi"/>
          <w:b/>
          <w:bCs/>
          <w:sz w:val="22"/>
          <w:szCs w:val="22"/>
        </w:rPr>
        <w:t>by:</w:t>
      </w:r>
      <w:proofErr w:type="gramEnd"/>
      <w:r w:rsidRPr="008C68E5">
        <w:rPr>
          <w:rFonts w:asciiTheme="minorHAnsi" w:hAnsiTheme="minorHAnsi" w:cstheme="minorHAnsi"/>
          <w:sz w:val="22"/>
          <w:szCs w:val="22"/>
        </w:rPr>
        <w:t> </w:t>
      </w:r>
      <w:r w:rsidRPr="008C68E5">
        <w:rPr>
          <w:rStyle w:val="Strong"/>
          <w:rFonts w:asciiTheme="minorHAnsi" w:hAnsiTheme="minorHAnsi" w:cstheme="minorHAnsi"/>
          <w:sz w:val="22"/>
          <w:szCs w:val="22"/>
        </w:rPr>
        <w:t>Lisa M. Shaw</w:t>
      </w:r>
      <w:r w:rsidRPr="008C68E5">
        <w:rPr>
          <w:rFonts w:asciiTheme="minorHAnsi" w:hAnsiTheme="minorHAnsi" w:cstheme="minorHAnsi"/>
          <w:sz w:val="22"/>
          <w:szCs w:val="22"/>
        </w:rPr>
        <w:t xml:space="preserve">, Rural &amp; Small Libraries Specialist, Maine State Library, and Chair, ARSL Advocacy Committee; and </w:t>
      </w:r>
      <w:r w:rsidRPr="008C68E5">
        <w:rPr>
          <w:rStyle w:val="Strong"/>
          <w:rFonts w:asciiTheme="minorHAnsi" w:hAnsiTheme="minorHAnsi" w:cstheme="minorHAnsi"/>
          <w:sz w:val="22"/>
          <w:szCs w:val="22"/>
        </w:rPr>
        <w:t>Kate Brunner</w:t>
      </w:r>
      <w:r w:rsidRPr="008C68E5">
        <w:rPr>
          <w:rFonts w:asciiTheme="minorHAnsi" w:hAnsiTheme="minorHAnsi" w:cstheme="minorHAnsi"/>
          <w:sz w:val="22"/>
          <w:szCs w:val="22"/>
        </w:rPr>
        <w:t>, Children's Services Manager, Pine River Library (CO), Regional Literacy Specialist, Southern Region at the Colorado State Library, and Member, ARSL Advocacy Committee.</w:t>
      </w:r>
    </w:p>
    <w:tbl>
      <w:tblPr>
        <w:tblStyle w:val="TableGrid"/>
        <w:tblW w:w="9468" w:type="dxa"/>
        <w:tblLook w:val="04A0" w:firstRow="1" w:lastRow="0" w:firstColumn="1" w:lastColumn="0" w:noHBand="0" w:noVBand="1"/>
      </w:tblPr>
      <w:tblGrid>
        <w:gridCol w:w="1518"/>
        <w:gridCol w:w="7950"/>
      </w:tblGrid>
      <w:tr w:rsidR="00560CCE" w:rsidRPr="00093DC8" w14:paraId="44481815" w14:textId="77777777" w:rsidTr="004E2994">
        <w:trPr>
          <w:trHeight w:val="900"/>
        </w:trPr>
        <w:tc>
          <w:tcPr>
            <w:tcW w:w="9468" w:type="dxa"/>
            <w:gridSpan w:val="2"/>
            <w:shd w:val="clear" w:color="auto" w:fill="31849B" w:themeFill="accent5" w:themeFillShade="BF"/>
            <w:vAlign w:val="center"/>
          </w:tcPr>
          <w:p w14:paraId="20DFC9A9" w14:textId="77777777" w:rsidR="00560CCE" w:rsidRPr="00093DC8" w:rsidRDefault="00560CCE" w:rsidP="00C87458">
            <w:pPr>
              <w:rPr>
                <w:rFonts w:cstheme="minorHAnsi"/>
                <w:b/>
                <w:color w:val="FFFFFF" w:themeColor="background1"/>
                <w:sz w:val="24"/>
              </w:rPr>
            </w:pPr>
            <w:r w:rsidRPr="00093DC8">
              <w:rPr>
                <w:rFonts w:cstheme="minorHAnsi"/>
                <w:b/>
                <w:color w:val="FFFFFF" w:themeColor="background1"/>
                <w:sz w:val="24"/>
              </w:rPr>
              <w:t>What are your goals for viewing this webinar?</w:t>
            </w:r>
          </w:p>
        </w:tc>
      </w:tr>
      <w:tr w:rsidR="00560CCE" w:rsidRPr="00093DC8" w14:paraId="4B3FC002" w14:textId="77777777" w:rsidTr="004E2994">
        <w:trPr>
          <w:trHeight w:val="1158"/>
        </w:trPr>
        <w:tc>
          <w:tcPr>
            <w:tcW w:w="1518" w:type="dxa"/>
            <w:shd w:val="clear" w:color="auto" w:fill="92CDDC" w:themeFill="accent5" w:themeFillTint="99"/>
            <w:vAlign w:val="center"/>
          </w:tcPr>
          <w:p w14:paraId="1CD0C69B" w14:textId="77777777" w:rsidR="00560CCE" w:rsidRPr="00093DC8" w:rsidRDefault="00560CCE" w:rsidP="00C87458">
            <w:pPr>
              <w:rPr>
                <w:rFonts w:cstheme="minorHAnsi"/>
                <w:sz w:val="24"/>
              </w:rPr>
            </w:pPr>
            <w:r w:rsidRPr="00093DC8">
              <w:rPr>
                <w:rFonts w:cstheme="minorHAnsi"/>
                <w:b/>
                <w:sz w:val="24"/>
              </w:rPr>
              <w:t>Personal Goals</w:t>
            </w:r>
          </w:p>
        </w:tc>
        <w:tc>
          <w:tcPr>
            <w:tcW w:w="7949" w:type="dxa"/>
            <w:vAlign w:val="center"/>
          </w:tcPr>
          <w:p w14:paraId="359241DF" w14:textId="77777777" w:rsidR="00560CCE" w:rsidRPr="00093DC8" w:rsidRDefault="00560CCE" w:rsidP="00C87458">
            <w:pPr>
              <w:rPr>
                <w:rFonts w:cstheme="minorHAnsi"/>
                <w:sz w:val="24"/>
              </w:rPr>
            </w:pPr>
          </w:p>
          <w:p w14:paraId="5FC9D22E" w14:textId="77777777" w:rsidR="005B68CE" w:rsidRPr="00093DC8" w:rsidRDefault="005B68CE" w:rsidP="00C87458">
            <w:pPr>
              <w:rPr>
                <w:rFonts w:cstheme="minorHAnsi"/>
                <w:sz w:val="24"/>
              </w:rPr>
            </w:pPr>
          </w:p>
          <w:p w14:paraId="105FEE25" w14:textId="46F5D3C4" w:rsidR="005B68CE" w:rsidRPr="00093DC8" w:rsidRDefault="005B68CE" w:rsidP="00C87458">
            <w:pPr>
              <w:rPr>
                <w:rFonts w:cstheme="minorHAnsi"/>
                <w:sz w:val="24"/>
              </w:rPr>
            </w:pPr>
          </w:p>
        </w:tc>
      </w:tr>
      <w:tr w:rsidR="00560CCE" w:rsidRPr="00093DC8" w14:paraId="1D92BA34" w14:textId="77777777" w:rsidTr="004E2994">
        <w:trPr>
          <w:cantSplit/>
          <w:trHeight w:val="1158"/>
        </w:trPr>
        <w:tc>
          <w:tcPr>
            <w:tcW w:w="1518" w:type="dxa"/>
            <w:shd w:val="clear" w:color="auto" w:fill="92CDDC" w:themeFill="accent5" w:themeFillTint="99"/>
            <w:vAlign w:val="center"/>
          </w:tcPr>
          <w:p w14:paraId="67B5D9E7" w14:textId="77777777" w:rsidR="00560CCE" w:rsidRPr="00093DC8" w:rsidRDefault="00560CCE" w:rsidP="00C87458">
            <w:pPr>
              <w:rPr>
                <w:rFonts w:cstheme="minorHAnsi"/>
                <w:sz w:val="24"/>
              </w:rPr>
            </w:pPr>
            <w:r w:rsidRPr="00093DC8">
              <w:rPr>
                <w:rFonts w:cstheme="minorHAnsi"/>
                <w:b/>
                <w:sz w:val="24"/>
              </w:rPr>
              <w:t>Team Goals</w:t>
            </w:r>
          </w:p>
        </w:tc>
        <w:tc>
          <w:tcPr>
            <w:tcW w:w="7949" w:type="dxa"/>
            <w:vAlign w:val="center"/>
          </w:tcPr>
          <w:p w14:paraId="44100EBD" w14:textId="77777777" w:rsidR="00560CCE" w:rsidRPr="00093DC8" w:rsidRDefault="00560CCE" w:rsidP="00C87458">
            <w:pPr>
              <w:rPr>
                <w:rFonts w:cstheme="minorHAnsi"/>
                <w:sz w:val="24"/>
              </w:rPr>
            </w:pPr>
          </w:p>
          <w:p w14:paraId="51ED016A" w14:textId="77777777" w:rsidR="005B68CE" w:rsidRPr="00093DC8" w:rsidRDefault="005B68CE" w:rsidP="00C87458">
            <w:pPr>
              <w:rPr>
                <w:rFonts w:cstheme="minorHAnsi"/>
                <w:sz w:val="24"/>
              </w:rPr>
            </w:pPr>
          </w:p>
          <w:p w14:paraId="46755034" w14:textId="37123E4E" w:rsidR="005B68CE" w:rsidRPr="00093DC8" w:rsidRDefault="005B68CE" w:rsidP="00C87458">
            <w:pPr>
              <w:rPr>
                <w:rFonts w:cstheme="minorHAnsi"/>
                <w:sz w:val="24"/>
              </w:rPr>
            </w:pPr>
          </w:p>
        </w:tc>
      </w:tr>
      <w:tr w:rsidR="004E70AF" w:rsidRPr="00093DC8" w14:paraId="3B5DBDA7" w14:textId="77777777" w:rsidTr="00C44BA0">
        <w:trPr>
          <w:cantSplit/>
          <w:trHeight w:val="710"/>
        </w:trPr>
        <w:tc>
          <w:tcPr>
            <w:tcW w:w="9468" w:type="dxa"/>
            <w:gridSpan w:val="2"/>
            <w:shd w:val="clear" w:color="auto" w:fill="31849B" w:themeFill="accent5" w:themeFillShade="BF"/>
            <w:vAlign w:val="center"/>
          </w:tcPr>
          <w:p w14:paraId="513A0EFC" w14:textId="1152A7D8" w:rsidR="004E70AF" w:rsidRPr="004E70AF" w:rsidRDefault="004E70AF" w:rsidP="00C87458">
            <w:pPr>
              <w:rPr>
                <w:rFonts w:cstheme="minorHAnsi"/>
                <w:b/>
                <w:bCs/>
                <w:sz w:val="24"/>
              </w:rPr>
            </w:pPr>
            <w:r w:rsidRPr="004E70AF">
              <w:rPr>
                <w:rFonts w:cstheme="minorHAnsi"/>
                <w:b/>
                <w:bCs/>
                <w:color w:val="FFFFFF" w:themeColor="background1"/>
                <w:sz w:val="24"/>
              </w:rPr>
              <w:t>Getting Started</w:t>
            </w:r>
          </w:p>
        </w:tc>
      </w:tr>
      <w:tr w:rsidR="004E70AF" w:rsidRPr="00093DC8" w14:paraId="71DB89D6" w14:textId="77777777" w:rsidTr="004E2994">
        <w:trPr>
          <w:cantSplit/>
          <w:trHeight w:val="1158"/>
        </w:trPr>
        <w:tc>
          <w:tcPr>
            <w:tcW w:w="9468" w:type="dxa"/>
            <w:gridSpan w:val="2"/>
            <w:shd w:val="clear" w:color="auto" w:fill="FFFFFF" w:themeFill="background1"/>
            <w:vAlign w:val="center"/>
          </w:tcPr>
          <w:p w14:paraId="6C4AEFC3" w14:textId="77777777" w:rsidR="004E70AF" w:rsidRPr="004E70AF" w:rsidRDefault="004E70AF" w:rsidP="004E70AF">
            <w:pPr>
              <w:rPr>
                <w:rFonts w:cstheme="minorHAnsi"/>
                <w:sz w:val="24"/>
              </w:rPr>
            </w:pPr>
            <w:r w:rsidRPr="004E70AF">
              <w:rPr>
                <w:rFonts w:cstheme="minorHAnsi"/>
                <w:sz w:val="24"/>
              </w:rPr>
              <w:t>What advocacy work is your library already doing?</w:t>
            </w:r>
          </w:p>
          <w:p w14:paraId="11DCF20C" w14:textId="2AFDB0F6" w:rsidR="004E70AF" w:rsidRDefault="004E70AF" w:rsidP="004E70AF">
            <w:pPr>
              <w:rPr>
                <w:rFonts w:cstheme="minorHAnsi"/>
                <w:sz w:val="24"/>
              </w:rPr>
            </w:pPr>
          </w:p>
          <w:p w14:paraId="617A84A5" w14:textId="083C1989" w:rsidR="004E70AF" w:rsidRDefault="004E70AF" w:rsidP="004E70AF">
            <w:pPr>
              <w:rPr>
                <w:rFonts w:cstheme="minorHAnsi"/>
                <w:sz w:val="24"/>
              </w:rPr>
            </w:pPr>
          </w:p>
          <w:p w14:paraId="04AC575E" w14:textId="77777777" w:rsidR="00C44BA0" w:rsidRDefault="00C44BA0" w:rsidP="004E70AF">
            <w:pPr>
              <w:rPr>
                <w:rFonts w:cstheme="minorHAnsi"/>
                <w:sz w:val="24"/>
              </w:rPr>
            </w:pPr>
          </w:p>
          <w:p w14:paraId="48CA062E" w14:textId="095BEFDA" w:rsidR="004E2994" w:rsidRDefault="004E2994" w:rsidP="004E70AF">
            <w:pPr>
              <w:rPr>
                <w:rFonts w:cstheme="minorHAnsi"/>
                <w:sz w:val="24"/>
              </w:rPr>
            </w:pPr>
          </w:p>
          <w:p w14:paraId="270D2935" w14:textId="77777777" w:rsidR="004E2994" w:rsidRDefault="004E2994" w:rsidP="004E70AF">
            <w:pPr>
              <w:rPr>
                <w:rFonts w:cstheme="minorHAnsi"/>
                <w:sz w:val="24"/>
              </w:rPr>
            </w:pPr>
          </w:p>
          <w:p w14:paraId="05C16464" w14:textId="77777777" w:rsidR="004E70AF" w:rsidRPr="004E70AF" w:rsidRDefault="004E70AF" w:rsidP="004E70AF">
            <w:pPr>
              <w:rPr>
                <w:rFonts w:cstheme="minorHAnsi"/>
                <w:sz w:val="24"/>
              </w:rPr>
            </w:pPr>
          </w:p>
          <w:p w14:paraId="77642D11" w14:textId="77777777" w:rsidR="004E70AF" w:rsidRDefault="004E70AF" w:rsidP="004E70AF">
            <w:pPr>
              <w:rPr>
                <w:rFonts w:cstheme="minorHAnsi"/>
                <w:sz w:val="24"/>
              </w:rPr>
            </w:pPr>
            <w:r w:rsidRPr="004E70AF">
              <w:rPr>
                <w:rFonts w:cstheme="minorHAnsi"/>
                <w:sz w:val="24"/>
              </w:rPr>
              <w:t>What are your biggest lessons learned when it comes to advocacy?</w:t>
            </w:r>
          </w:p>
          <w:p w14:paraId="0227C60F" w14:textId="77777777" w:rsidR="004E70AF" w:rsidRDefault="004E70AF" w:rsidP="004E70AF">
            <w:pPr>
              <w:rPr>
                <w:rFonts w:cstheme="minorHAnsi"/>
                <w:sz w:val="24"/>
              </w:rPr>
            </w:pPr>
          </w:p>
          <w:p w14:paraId="6F9F5985" w14:textId="3EF293C5" w:rsidR="004E70AF" w:rsidRDefault="004E70AF" w:rsidP="004E70AF">
            <w:pPr>
              <w:rPr>
                <w:rFonts w:cstheme="minorHAnsi"/>
                <w:sz w:val="24"/>
              </w:rPr>
            </w:pPr>
          </w:p>
          <w:p w14:paraId="7B1BCB46" w14:textId="74522D0B" w:rsidR="004E2994" w:rsidRDefault="004E2994" w:rsidP="004E70AF">
            <w:pPr>
              <w:rPr>
                <w:rFonts w:cstheme="minorHAnsi"/>
                <w:sz w:val="24"/>
              </w:rPr>
            </w:pPr>
          </w:p>
          <w:p w14:paraId="2CF51A5A" w14:textId="77777777" w:rsidR="004E2994" w:rsidRDefault="004E2994" w:rsidP="004E70AF">
            <w:pPr>
              <w:rPr>
                <w:rFonts w:cstheme="minorHAnsi"/>
                <w:sz w:val="24"/>
              </w:rPr>
            </w:pPr>
          </w:p>
          <w:p w14:paraId="3CF3D913" w14:textId="4AE5DEC0" w:rsidR="004E70AF" w:rsidRPr="00093DC8" w:rsidRDefault="004E70AF" w:rsidP="004E70AF">
            <w:pPr>
              <w:rPr>
                <w:rFonts w:cstheme="minorHAnsi"/>
                <w:sz w:val="24"/>
              </w:rPr>
            </w:pPr>
          </w:p>
        </w:tc>
      </w:tr>
    </w:tbl>
    <w:p w14:paraId="32C2F15E" w14:textId="77777777" w:rsidR="004E2994" w:rsidRDefault="004E2994">
      <w:r>
        <w:br w:type="page"/>
      </w:r>
    </w:p>
    <w:tbl>
      <w:tblPr>
        <w:tblStyle w:val="TableGrid"/>
        <w:tblW w:w="9558" w:type="dxa"/>
        <w:tblLook w:val="04A0" w:firstRow="1" w:lastRow="0" w:firstColumn="1" w:lastColumn="0" w:noHBand="0" w:noVBand="1"/>
      </w:tblPr>
      <w:tblGrid>
        <w:gridCol w:w="9558"/>
      </w:tblGrid>
      <w:tr w:rsidR="00D05126" w:rsidRPr="00093DC8" w14:paraId="731D36C4" w14:textId="77777777" w:rsidTr="00C87458">
        <w:trPr>
          <w:trHeight w:val="638"/>
        </w:trPr>
        <w:tc>
          <w:tcPr>
            <w:tcW w:w="9558" w:type="dxa"/>
            <w:shd w:val="clear" w:color="auto" w:fill="31849B" w:themeFill="accent5" w:themeFillShade="BF"/>
            <w:vAlign w:val="center"/>
          </w:tcPr>
          <w:p w14:paraId="5F9BB28A" w14:textId="6894E285" w:rsidR="00D05126" w:rsidRPr="00093DC8" w:rsidRDefault="004B17F0" w:rsidP="00C87458">
            <w:pPr>
              <w:rPr>
                <w:rFonts w:cstheme="minorHAnsi"/>
                <w:b/>
                <w:iCs/>
                <w:color w:val="FFFFFF" w:themeColor="background1"/>
                <w:sz w:val="24"/>
              </w:rPr>
            </w:pPr>
            <w:r>
              <w:rPr>
                <w:rFonts w:cstheme="minorHAnsi"/>
                <w:b/>
                <w:iCs/>
                <w:color w:val="FFFFFF" w:themeColor="background1"/>
                <w:sz w:val="24"/>
              </w:rPr>
              <w:lastRenderedPageBreak/>
              <w:t>Sharpen Your Ax</w:t>
            </w:r>
          </w:p>
        </w:tc>
      </w:tr>
      <w:tr w:rsidR="00D05126" w:rsidRPr="00093DC8" w14:paraId="141E8A2F" w14:textId="77777777" w:rsidTr="00D05126">
        <w:trPr>
          <w:trHeight w:val="638"/>
        </w:trPr>
        <w:tc>
          <w:tcPr>
            <w:tcW w:w="9558" w:type="dxa"/>
            <w:shd w:val="clear" w:color="auto" w:fill="auto"/>
            <w:vAlign w:val="center"/>
          </w:tcPr>
          <w:p w14:paraId="37528393" w14:textId="77777777" w:rsidR="004B17F0" w:rsidRDefault="004B17F0" w:rsidP="004B17F0">
            <w:pPr>
              <w:rPr>
                <w:sz w:val="24"/>
                <w:szCs w:val="24"/>
              </w:rPr>
            </w:pPr>
            <w:r>
              <w:rPr>
                <w:sz w:val="24"/>
                <w:szCs w:val="24"/>
              </w:rPr>
              <w:t>“If I had eight hours to cut down a tree, I would spend six hours sharpening my ax.”</w:t>
            </w:r>
          </w:p>
          <w:p w14:paraId="738E7C36" w14:textId="1BCD3BF0" w:rsidR="004B17F0" w:rsidRDefault="004B17F0" w:rsidP="004B17F0">
            <w:pPr>
              <w:ind w:left="3600" w:firstLine="720"/>
              <w:rPr>
                <w:sz w:val="24"/>
                <w:szCs w:val="24"/>
              </w:rPr>
            </w:pPr>
            <w:r>
              <w:rPr>
                <w:sz w:val="24"/>
                <w:szCs w:val="24"/>
              </w:rPr>
              <w:t xml:space="preserve"> – Abraham Lincoln</w:t>
            </w:r>
          </w:p>
          <w:p w14:paraId="2B811E16" w14:textId="69438AF5" w:rsidR="004B17F0" w:rsidRDefault="00F024A2" w:rsidP="00F024A2">
            <w:pPr>
              <w:jc w:val="both"/>
              <w:rPr>
                <w:sz w:val="24"/>
                <w:szCs w:val="24"/>
              </w:rPr>
            </w:pPr>
            <w:r>
              <w:rPr>
                <w:sz w:val="24"/>
                <w:szCs w:val="24"/>
              </w:rPr>
              <w:t>Being prepared for those everyday opportunities to advocate for your library is well worth the time! Here are some suggestions:</w:t>
            </w:r>
          </w:p>
          <w:p w14:paraId="5F36DB4D" w14:textId="77777777" w:rsidR="00F024A2" w:rsidRDefault="00F024A2" w:rsidP="00F024A2">
            <w:pPr>
              <w:jc w:val="both"/>
              <w:rPr>
                <w:sz w:val="24"/>
                <w:szCs w:val="24"/>
              </w:rPr>
            </w:pPr>
          </w:p>
          <w:p w14:paraId="2EA17D33" w14:textId="4E63905F" w:rsidR="004B17F0" w:rsidRPr="00F024A2" w:rsidRDefault="004B17F0" w:rsidP="00C44BA0">
            <w:pPr>
              <w:pStyle w:val="ListParagraph"/>
              <w:numPr>
                <w:ilvl w:val="0"/>
                <w:numId w:val="24"/>
              </w:numPr>
              <w:rPr>
                <w:sz w:val="24"/>
                <w:szCs w:val="24"/>
              </w:rPr>
            </w:pPr>
            <w:r w:rsidRPr="00F024A2">
              <w:rPr>
                <w:sz w:val="24"/>
                <w:szCs w:val="24"/>
              </w:rPr>
              <w:t>Mak</w:t>
            </w:r>
            <w:r w:rsidR="004E2994">
              <w:rPr>
                <w:sz w:val="24"/>
                <w:szCs w:val="24"/>
              </w:rPr>
              <w:t>e</w:t>
            </w:r>
            <w:r w:rsidRPr="00F024A2">
              <w:rPr>
                <w:sz w:val="24"/>
                <w:szCs w:val="24"/>
              </w:rPr>
              <w:t xml:space="preserve"> eye contact with people when you meet them or when they’re speaking</w:t>
            </w:r>
            <w:r w:rsidR="004E2994">
              <w:rPr>
                <w:sz w:val="24"/>
                <w:szCs w:val="24"/>
              </w:rPr>
              <w:t>; it</w:t>
            </w:r>
            <w:r w:rsidRPr="00F024A2">
              <w:rPr>
                <w:sz w:val="24"/>
                <w:szCs w:val="24"/>
              </w:rPr>
              <w:t xml:space="preserve"> is very impactful. It can also be very hard if you are naturally shy or introverted. A good trick to try when they are speaking is to ask yourself: “What color are their eyes?”</w:t>
            </w:r>
          </w:p>
          <w:p w14:paraId="3D7BAFE6" w14:textId="77777777" w:rsidR="004B17F0" w:rsidRDefault="004B17F0" w:rsidP="004B17F0">
            <w:pPr>
              <w:rPr>
                <w:sz w:val="24"/>
                <w:szCs w:val="24"/>
              </w:rPr>
            </w:pPr>
          </w:p>
          <w:p w14:paraId="28798A2D" w14:textId="30349CE7" w:rsidR="004B17F0" w:rsidRPr="00F024A2" w:rsidRDefault="004B17F0" w:rsidP="00C44BA0">
            <w:pPr>
              <w:pStyle w:val="ListParagraph"/>
              <w:numPr>
                <w:ilvl w:val="0"/>
                <w:numId w:val="24"/>
              </w:numPr>
              <w:rPr>
                <w:sz w:val="24"/>
                <w:szCs w:val="24"/>
              </w:rPr>
            </w:pPr>
            <w:r w:rsidRPr="00F024A2">
              <w:rPr>
                <w:sz w:val="24"/>
                <w:szCs w:val="24"/>
              </w:rPr>
              <w:t>Carry business cards with you. (You can make some on a printer if need be – just something with your name, library, and contact information.)</w:t>
            </w:r>
          </w:p>
          <w:p w14:paraId="5F6AB5CC" w14:textId="77777777" w:rsidR="004B17F0" w:rsidRDefault="004B17F0" w:rsidP="004B17F0">
            <w:pPr>
              <w:rPr>
                <w:sz w:val="24"/>
                <w:szCs w:val="24"/>
              </w:rPr>
            </w:pPr>
          </w:p>
          <w:p w14:paraId="4F2636BC" w14:textId="7639B675" w:rsidR="004B17F0" w:rsidRPr="00F024A2" w:rsidRDefault="004B17F0" w:rsidP="00C44BA0">
            <w:pPr>
              <w:pStyle w:val="ListParagraph"/>
              <w:numPr>
                <w:ilvl w:val="0"/>
                <w:numId w:val="24"/>
              </w:numPr>
              <w:rPr>
                <w:sz w:val="24"/>
                <w:szCs w:val="24"/>
              </w:rPr>
            </w:pPr>
            <w:r w:rsidRPr="00F024A2">
              <w:rPr>
                <w:sz w:val="24"/>
                <w:szCs w:val="24"/>
              </w:rPr>
              <w:t xml:space="preserve">Thank a policy maker or funder by email or letter for something they have done – even if it’s not library-specific.  </w:t>
            </w:r>
          </w:p>
          <w:p w14:paraId="63B81281" w14:textId="77777777" w:rsidR="004B17F0" w:rsidRDefault="004B17F0" w:rsidP="004B17F0">
            <w:pPr>
              <w:rPr>
                <w:sz w:val="24"/>
                <w:szCs w:val="24"/>
              </w:rPr>
            </w:pPr>
          </w:p>
          <w:p w14:paraId="175F4B43" w14:textId="5CA65C62" w:rsidR="00CB74FA" w:rsidRPr="00F024A2" w:rsidRDefault="004B17F0" w:rsidP="00C44BA0">
            <w:pPr>
              <w:pStyle w:val="ListParagraph"/>
              <w:numPr>
                <w:ilvl w:val="0"/>
                <w:numId w:val="24"/>
              </w:numPr>
              <w:rPr>
                <w:sz w:val="24"/>
                <w:szCs w:val="24"/>
              </w:rPr>
            </w:pPr>
            <w:r w:rsidRPr="00F024A2">
              <w:rPr>
                <w:sz w:val="24"/>
                <w:szCs w:val="24"/>
              </w:rPr>
              <w:t xml:space="preserve">Pick a story or two from your library – some way that a person was </w:t>
            </w:r>
            <w:proofErr w:type="gramStart"/>
            <w:r w:rsidRPr="00F024A2">
              <w:rPr>
                <w:sz w:val="24"/>
                <w:szCs w:val="24"/>
              </w:rPr>
              <w:t>helped</w:t>
            </w:r>
            <w:proofErr w:type="gramEnd"/>
            <w:r w:rsidRPr="00F024A2">
              <w:rPr>
                <w:sz w:val="24"/>
                <w:szCs w:val="24"/>
              </w:rPr>
              <w:t xml:space="preserve"> or a problem solved – and be ready to tell it in 30 seconds.</w:t>
            </w:r>
          </w:p>
          <w:p w14:paraId="7B68B2B3" w14:textId="77777777" w:rsidR="004B17F0" w:rsidRDefault="004B17F0" w:rsidP="004B17F0">
            <w:pPr>
              <w:rPr>
                <w:sz w:val="24"/>
                <w:szCs w:val="24"/>
              </w:rPr>
            </w:pPr>
          </w:p>
          <w:p w14:paraId="7D071787" w14:textId="3DD6FB05" w:rsidR="004B17F0" w:rsidRPr="004B17F0" w:rsidRDefault="004B17F0" w:rsidP="004B17F0">
            <w:pPr>
              <w:rPr>
                <w:sz w:val="24"/>
                <w:szCs w:val="24"/>
              </w:rPr>
            </w:pPr>
          </w:p>
        </w:tc>
      </w:tr>
      <w:tr w:rsidR="00323CBD" w:rsidRPr="00093DC8" w14:paraId="439B9290" w14:textId="77777777" w:rsidTr="00C87458">
        <w:trPr>
          <w:trHeight w:val="638"/>
        </w:trPr>
        <w:tc>
          <w:tcPr>
            <w:tcW w:w="9558" w:type="dxa"/>
            <w:shd w:val="clear" w:color="auto" w:fill="31849B" w:themeFill="accent5" w:themeFillShade="BF"/>
            <w:vAlign w:val="center"/>
          </w:tcPr>
          <w:p w14:paraId="6B054100" w14:textId="2FC59BCD" w:rsidR="00323CBD" w:rsidRPr="00093DC8" w:rsidRDefault="004B17F0" w:rsidP="00C87458">
            <w:pPr>
              <w:rPr>
                <w:rFonts w:cstheme="minorHAnsi"/>
                <w:sz w:val="24"/>
              </w:rPr>
            </w:pPr>
            <w:r>
              <w:rPr>
                <w:rFonts w:cstheme="minorHAnsi"/>
                <w:b/>
                <w:iCs/>
                <w:color w:val="FFFFFF" w:themeColor="background1"/>
                <w:sz w:val="24"/>
              </w:rPr>
              <w:t>Asset Inventory and Mapping</w:t>
            </w:r>
          </w:p>
        </w:tc>
      </w:tr>
      <w:tr w:rsidR="00323CBD" w:rsidRPr="00093DC8" w14:paraId="75E62739" w14:textId="77777777" w:rsidTr="000C4D4D">
        <w:trPr>
          <w:trHeight w:val="638"/>
        </w:trPr>
        <w:tc>
          <w:tcPr>
            <w:tcW w:w="9558" w:type="dxa"/>
            <w:shd w:val="clear" w:color="auto" w:fill="auto"/>
            <w:vAlign w:val="center"/>
          </w:tcPr>
          <w:p w14:paraId="36931A20" w14:textId="7094BC3F" w:rsidR="00F024A2" w:rsidRDefault="00F024A2" w:rsidP="004B17F0">
            <w:pPr>
              <w:rPr>
                <w:sz w:val="24"/>
                <w:szCs w:val="24"/>
              </w:rPr>
            </w:pPr>
            <w:r>
              <w:rPr>
                <w:sz w:val="24"/>
                <w:szCs w:val="24"/>
              </w:rPr>
              <w:t>Take inventory of your current offerings, community agencies, and opportunities.</w:t>
            </w:r>
          </w:p>
          <w:p w14:paraId="1506BAE9" w14:textId="77777777" w:rsidR="00F024A2" w:rsidRDefault="00F024A2" w:rsidP="004B17F0">
            <w:pPr>
              <w:rPr>
                <w:sz w:val="24"/>
                <w:szCs w:val="24"/>
              </w:rPr>
            </w:pPr>
          </w:p>
          <w:p w14:paraId="6FCEB660" w14:textId="249E0BC6" w:rsidR="004B17F0" w:rsidRDefault="004B17F0" w:rsidP="004B17F0">
            <w:pPr>
              <w:rPr>
                <w:sz w:val="24"/>
                <w:szCs w:val="24"/>
              </w:rPr>
            </w:pPr>
            <w:r>
              <w:rPr>
                <w:sz w:val="24"/>
                <w:szCs w:val="24"/>
              </w:rPr>
              <w:t xml:space="preserve">What </w:t>
            </w:r>
            <w:r w:rsidR="00D27B0F" w:rsidRPr="00D947DE">
              <w:rPr>
                <w:i/>
                <w:sz w:val="24"/>
                <w:szCs w:val="24"/>
              </w:rPr>
              <w:t>non-library-specific</w:t>
            </w:r>
            <w:r w:rsidR="00D27B0F">
              <w:rPr>
                <w:sz w:val="24"/>
                <w:szCs w:val="24"/>
              </w:rPr>
              <w:t xml:space="preserve"> </w:t>
            </w:r>
            <w:r>
              <w:rPr>
                <w:sz w:val="24"/>
                <w:szCs w:val="24"/>
              </w:rPr>
              <w:t xml:space="preserve">association, group, or community meetings could </w:t>
            </w:r>
            <w:r w:rsidR="00D27B0F">
              <w:rPr>
                <w:sz w:val="24"/>
                <w:szCs w:val="24"/>
              </w:rPr>
              <w:t xml:space="preserve">you </w:t>
            </w:r>
            <w:r>
              <w:rPr>
                <w:sz w:val="24"/>
                <w:szCs w:val="24"/>
              </w:rPr>
              <w:t xml:space="preserve">attend? (For example, is there a broadband coalition, an opioid task force meeting, housing, planning, or other “issue” meeting that you could attend just for the purposes of listening?) </w:t>
            </w:r>
          </w:p>
          <w:p w14:paraId="3A855211" w14:textId="66BACCEF" w:rsidR="004B17F0" w:rsidRDefault="004B17F0" w:rsidP="004B17F0">
            <w:pPr>
              <w:rPr>
                <w:sz w:val="24"/>
                <w:szCs w:val="24"/>
              </w:rPr>
            </w:pPr>
          </w:p>
          <w:p w14:paraId="2754DE31" w14:textId="7DDCD0D1" w:rsidR="004E2994" w:rsidRDefault="004E2994" w:rsidP="004B17F0">
            <w:pPr>
              <w:rPr>
                <w:sz w:val="24"/>
                <w:szCs w:val="24"/>
              </w:rPr>
            </w:pPr>
          </w:p>
          <w:p w14:paraId="1B43EC05" w14:textId="77777777" w:rsidR="004E2994" w:rsidRDefault="004E2994" w:rsidP="004B17F0">
            <w:pPr>
              <w:rPr>
                <w:sz w:val="24"/>
                <w:szCs w:val="24"/>
              </w:rPr>
            </w:pPr>
          </w:p>
          <w:p w14:paraId="6291760C" w14:textId="77777777" w:rsidR="004B17F0" w:rsidRDefault="004B17F0" w:rsidP="004B17F0">
            <w:pPr>
              <w:rPr>
                <w:sz w:val="24"/>
                <w:szCs w:val="24"/>
              </w:rPr>
            </w:pPr>
          </w:p>
          <w:p w14:paraId="5CF66047" w14:textId="2A84AC5A" w:rsidR="004B17F0" w:rsidRDefault="004B17F0" w:rsidP="00833F20">
            <w:pPr>
              <w:rPr>
                <w:sz w:val="24"/>
                <w:szCs w:val="24"/>
              </w:rPr>
            </w:pPr>
            <w:r>
              <w:rPr>
                <w:sz w:val="24"/>
                <w:szCs w:val="24"/>
              </w:rPr>
              <w:t>What are community, regional, state, or national newsletters (such as ICMA, Aspen Institute, NAMI) could sign up for that would better inform you of issues that intersect with your library’s work? Do they have a low- or no-cost meeting or summit you could attend? (When you first start out, some people might ask: “What is the library doing here?” A good answer is always: “We’re here to listen and see if there are ways we can help.”)</w:t>
            </w:r>
          </w:p>
          <w:p w14:paraId="188D034F" w14:textId="74C4A2E5" w:rsidR="00226E8F" w:rsidRDefault="00226E8F" w:rsidP="00833F20">
            <w:pPr>
              <w:rPr>
                <w:sz w:val="24"/>
                <w:szCs w:val="24"/>
              </w:rPr>
            </w:pPr>
          </w:p>
          <w:p w14:paraId="36AA2A0C" w14:textId="17C24CAB" w:rsidR="00226E8F" w:rsidRDefault="00226E8F" w:rsidP="00833F20">
            <w:pPr>
              <w:rPr>
                <w:sz w:val="24"/>
                <w:szCs w:val="24"/>
              </w:rPr>
            </w:pPr>
          </w:p>
          <w:p w14:paraId="1403EF3A" w14:textId="75FD32E6" w:rsidR="004E2994" w:rsidRDefault="004E2994" w:rsidP="00833F20">
            <w:pPr>
              <w:rPr>
                <w:sz w:val="24"/>
                <w:szCs w:val="24"/>
              </w:rPr>
            </w:pPr>
          </w:p>
          <w:p w14:paraId="0D968F8E" w14:textId="77777777" w:rsidR="004E2994" w:rsidRDefault="004E2994" w:rsidP="00833F20">
            <w:pPr>
              <w:rPr>
                <w:sz w:val="24"/>
                <w:szCs w:val="24"/>
              </w:rPr>
            </w:pPr>
          </w:p>
          <w:p w14:paraId="6B7B57DA" w14:textId="7CF1A290" w:rsidR="00833F20" w:rsidRPr="00833F20" w:rsidRDefault="00833F20" w:rsidP="00833F20">
            <w:pPr>
              <w:rPr>
                <w:sz w:val="24"/>
                <w:szCs w:val="24"/>
              </w:rPr>
            </w:pPr>
          </w:p>
        </w:tc>
      </w:tr>
      <w:tr w:rsidR="00053D62" w:rsidRPr="00093DC8" w14:paraId="298DC9ED" w14:textId="77777777" w:rsidTr="00C87458">
        <w:trPr>
          <w:trHeight w:val="638"/>
        </w:trPr>
        <w:tc>
          <w:tcPr>
            <w:tcW w:w="9558" w:type="dxa"/>
            <w:shd w:val="clear" w:color="auto" w:fill="31849B" w:themeFill="accent5" w:themeFillShade="BF"/>
            <w:vAlign w:val="center"/>
          </w:tcPr>
          <w:p w14:paraId="1841A619" w14:textId="0D7739F7" w:rsidR="00053D62" w:rsidRPr="00093DC8" w:rsidRDefault="00833F20" w:rsidP="00C87458">
            <w:pPr>
              <w:rPr>
                <w:rFonts w:cstheme="minorHAnsi"/>
                <w:b/>
                <w:bCs/>
                <w:iCs/>
                <w:color w:val="FFFFFF" w:themeColor="background1"/>
                <w:sz w:val="24"/>
              </w:rPr>
            </w:pPr>
            <w:r>
              <w:rPr>
                <w:rFonts w:cstheme="minorHAnsi"/>
                <w:b/>
                <w:iCs/>
                <w:color w:val="FFFFFF" w:themeColor="background1"/>
                <w:sz w:val="24"/>
              </w:rPr>
              <w:lastRenderedPageBreak/>
              <w:t>Advocacy in Action</w:t>
            </w:r>
          </w:p>
        </w:tc>
      </w:tr>
      <w:tr w:rsidR="00053D62" w:rsidRPr="00093DC8" w14:paraId="7923C890" w14:textId="77777777" w:rsidTr="00053D62">
        <w:trPr>
          <w:trHeight w:val="638"/>
        </w:trPr>
        <w:tc>
          <w:tcPr>
            <w:tcW w:w="9558" w:type="dxa"/>
            <w:shd w:val="clear" w:color="auto" w:fill="auto"/>
            <w:vAlign w:val="center"/>
          </w:tcPr>
          <w:p w14:paraId="785F1939" w14:textId="62FD0556" w:rsidR="00CB74FA" w:rsidRDefault="00833F20" w:rsidP="00833F20">
            <w:pPr>
              <w:rPr>
                <w:rFonts w:cstheme="minorHAnsi"/>
                <w:bCs/>
                <w:iCs/>
                <w:sz w:val="24"/>
              </w:rPr>
            </w:pPr>
            <w:r>
              <w:rPr>
                <w:rFonts w:cstheme="minorHAnsi"/>
                <w:bCs/>
                <w:iCs/>
                <w:sz w:val="24"/>
              </w:rPr>
              <w:t xml:space="preserve">Explore WebJunction’s resources, </w:t>
            </w:r>
            <w:hyperlink r:id="rId10" w:history="1">
              <w:r w:rsidRPr="00833F20">
                <w:rPr>
                  <w:rStyle w:val="Hyperlink"/>
                  <w:rFonts w:cstheme="minorHAnsi"/>
                  <w:bCs/>
                  <w:iCs/>
                  <w:sz w:val="24"/>
                </w:rPr>
                <w:t>Advocacy in Action</w:t>
              </w:r>
            </w:hyperlink>
            <w:r>
              <w:rPr>
                <w:rFonts w:cstheme="minorHAnsi"/>
                <w:bCs/>
                <w:iCs/>
                <w:sz w:val="24"/>
              </w:rPr>
              <w:t>, to take steps towards creating a local library awareness campaign:</w:t>
            </w:r>
          </w:p>
          <w:p w14:paraId="1FC2A3F6" w14:textId="77777777" w:rsidR="00C44BA0" w:rsidRDefault="00C44BA0" w:rsidP="00833F20">
            <w:pPr>
              <w:rPr>
                <w:rFonts w:cstheme="minorHAnsi"/>
                <w:bCs/>
                <w:iCs/>
                <w:sz w:val="24"/>
              </w:rPr>
            </w:pPr>
          </w:p>
          <w:p w14:paraId="02BA18FF" w14:textId="77777777" w:rsidR="00833F20" w:rsidRPr="00F024A2" w:rsidRDefault="00833F20" w:rsidP="00226E8F">
            <w:pPr>
              <w:spacing w:line="360" w:lineRule="auto"/>
              <w:ind w:left="720"/>
              <w:rPr>
                <w:sz w:val="24"/>
                <w:szCs w:val="24"/>
              </w:rPr>
            </w:pPr>
            <w:r w:rsidRPr="00F024A2">
              <w:rPr>
                <w:rFonts w:hAnsi="Symbol"/>
                <w:sz w:val="24"/>
                <w:szCs w:val="24"/>
              </w:rPr>
              <w:t></w:t>
            </w:r>
            <w:r w:rsidRPr="00F024A2">
              <w:rPr>
                <w:sz w:val="24"/>
                <w:szCs w:val="24"/>
              </w:rPr>
              <w:t xml:space="preserve">  </w:t>
            </w:r>
            <w:hyperlink r:id="rId11" w:history="1">
              <w:r w:rsidRPr="00F024A2">
                <w:rPr>
                  <w:rStyle w:val="Hyperlink"/>
                  <w:sz w:val="24"/>
                  <w:szCs w:val="24"/>
                </w:rPr>
                <w:t>Plan Your Campaign</w:t>
              </w:r>
            </w:hyperlink>
            <w:r w:rsidRPr="00F024A2">
              <w:rPr>
                <w:sz w:val="24"/>
                <w:szCs w:val="24"/>
              </w:rPr>
              <w:t xml:space="preserve"> </w:t>
            </w:r>
          </w:p>
          <w:p w14:paraId="385D9BAB" w14:textId="77777777" w:rsidR="00833F20" w:rsidRPr="00F024A2" w:rsidRDefault="00833F20" w:rsidP="00226E8F">
            <w:pPr>
              <w:spacing w:line="360" w:lineRule="auto"/>
              <w:ind w:left="720"/>
              <w:rPr>
                <w:sz w:val="24"/>
                <w:szCs w:val="24"/>
              </w:rPr>
            </w:pPr>
            <w:r w:rsidRPr="00F024A2">
              <w:rPr>
                <w:rFonts w:hAnsi="Symbol"/>
                <w:sz w:val="24"/>
                <w:szCs w:val="24"/>
              </w:rPr>
              <w:t></w:t>
            </w:r>
            <w:r w:rsidRPr="00F024A2">
              <w:rPr>
                <w:sz w:val="24"/>
                <w:szCs w:val="24"/>
              </w:rPr>
              <w:t xml:space="preserve">  </w:t>
            </w:r>
            <w:hyperlink r:id="rId12" w:history="1">
              <w:r w:rsidRPr="00F024A2">
                <w:rPr>
                  <w:rStyle w:val="Hyperlink"/>
                  <w:sz w:val="24"/>
                  <w:szCs w:val="24"/>
                </w:rPr>
                <w:t>Create Awareness</w:t>
              </w:r>
            </w:hyperlink>
            <w:r w:rsidRPr="00F024A2">
              <w:rPr>
                <w:sz w:val="24"/>
                <w:szCs w:val="24"/>
              </w:rPr>
              <w:t xml:space="preserve"> </w:t>
            </w:r>
          </w:p>
          <w:p w14:paraId="7A29CF54" w14:textId="77777777" w:rsidR="00833F20" w:rsidRPr="00F024A2" w:rsidRDefault="00833F20" w:rsidP="00226E8F">
            <w:pPr>
              <w:spacing w:line="360" w:lineRule="auto"/>
              <w:ind w:left="720"/>
              <w:rPr>
                <w:sz w:val="24"/>
                <w:szCs w:val="24"/>
              </w:rPr>
            </w:pPr>
            <w:r w:rsidRPr="00F024A2">
              <w:rPr>
                <w:rFonts w:hAnsi="Symbol"/>
                <w:sz w:val="24"/>
                <w:szCs w:val="24"/>
              </w:rPr>
              <w:t></w:t>
            </w:r>
            <w:r w:rsidRPr="00F024A2">
              <w:rPr>
                <w:sz w:val="24"/>
                <w:szCs w:val="24"/>
              </w:rPr>
              <w:t xml:space="preserve">  </w:t>
            </w:r>
            <w:hyperlink r:id="rId13" w:history="1">
              <w:r w:rsidRPr="00F024A2">
                <w:rPr>
                  <w:rStyle w:val="Hyperlink"/>
                  <w:sz w:val="24"/>
                  <w:szCs w:val="24"/>
                </w:rPr>
                <w:t>Generate Engagement</w:t>
              </w:r>
            </w:hyperlink>
            <w:r w:rsidRPr="00F024A2">
              <w:rPr>
                <w:sz w:val="24"/>
                <w:szCs w:val="24"/>
              </w:rPr>
              <w:t xml:space="preserve"> </w:t>
            </w:r>
          </w:p>
          <w:p w14:paraId="3103C30D" w14:textId="77777777" w:rsidR="00833F20" w:rsidRPr="00F024A2" w:rsidRDefault="00833F20" w:rsidP="00226E8F">
            <w:pPr>
              <w:spacing w:line="360" w:lineRule="auto"/>
              <w:ind w:left="720"/>
              <w:rPr>
                <w:sz w:val="24"/>
                <w:szCs w:val="24"/>
              </w:rPr>
            </w:pPr>
            <w:r w:rsidRPr="00F024A2">
              <w:rPr>
                <w:rFonts w:hAnsi="Symbol"/>
                <w:sz w:val="24"/>
                <w:szCs w:val="24"/>
              </w:rPr>
              <w:t></w:t>
            </w:r>
            <w:r w:rsidRPr="00F024A2">
              <w:rPr>
                <w:sz w:val="24"/>
                <w:szCs w:val="24"/>
              </w:rPr>
              <w:t xml:space="preserve">  </w:t>
            </w:r>
            <w:hyperlink r:id="rId14" w:history="1">
              <w:r w:rsidRPr="00F024A2">
                <w:rPr>
                  <w:rStyle w:val="Hyperlink"/>
                  <w:sz w:val="24"/>
                  <w:szCs w:val="24"/>
                </w:rPr>
                <w:t>Encourage Action</w:t>
              </w:r>
            </w:hyperlink>
            <w:r w:rsidRPr="00F024A2">
              <w:rPr>
                <w:sz w:val="24"/>
                <w:szCs w:val="24"/>
              </w:rPr>
              <w:t xml:space="preserve"> </w:t>
            </w:r>
          </w:p>
          <w:p w14:paraId="570DF134" w14:textId="77777777" w:rsidR="00053D62" w:rsidRPr="00F024A2" w:rsidRDefault="00833F20" w:rsidP="00226E8F">
            <w:pPr>
              <w:spacing w:line="360" w:lineRule="auto"/>
              <w:ind w:left="720"/>
              <w:rPr>
                <w:sz w:val="24"/>
                <w:szCs w:val="24"/>
              </w:rPr>
            </w:pPr>
            <w:r w:rsidRPr="00F024A2">
              <w:rPr>
                <w:rFonts w:hAnsi="Symbol"/>
                <w:sz w:val="24"/>
                <w:szCs w:val="24"/>
              </w:rPr>
              <w:t></w:t>
            </w:r>
            <w:r w:rsidRPr="00F024A2">
              <w:rPr>
                <w:sz w:val="24"/>
                <w:szCs w:val="24"/>
              </w:rPr>
              <w:t xml:space="preserve">  </w:t>
            </w:r>
            <w:hyperlink r:id="rId15" w:history="1">
              <w:r w:rsidRPr="00F024A2">
                <w:rPr>
                  <w:rStyle w:val="Hyperlink"/>
                  <w:sz w:val="24"/>
                  <w:szCs w:val="24"/>
                </w:rPr>
                <w:t>Sustain the Momentum</w:t>
              </w:r>
            </w:hyperlink>
          </w:p>
          <w:p w14:paraId="7197CD44" w14:textId="77777777" w:rsidR="00226E8F" w:rsidRDefault="00226E8F" w:rsidP="00C44BA0">
            <w:pPr>
              <w:spacing w:line="360" w:lineRule="auto"/>
              <w:rPr>
                <w:bCs/>
                <w:iCs/>
              </w:rPr>
            </w:pPr>
          </w:p>
          <w:p w14:paraId="137135A5" w14:textId="70045758" w:rsidR="00226E8F" w:rsidRPr="00833F20" w:rsidRDefault="00226E8F" w:rsidP="00226E8F">
            <w:pPr>
              <w:spacing w:line="360" w:lineRule="auto"/>
              <w:ind w:left="720"/>
              <w:rPr>
                <w:rFonts w:cstheme="minorHAnsi"/>
                <w:bCs/>
                <w:iCs/>
                <w:sz w:val="24"/>
              </w:rPr>
            </w:pPr>
          </w:p>
        </w:tc>
      </w:tr>
      <w:tr w:rsidR="00AA6A7F" w:rsidRPr="00093DC8" w14:paraId="70B2416D" w14:textId="77777777" w:rsidTr="00ED7C10">
        <w:trPr>
          <w:trHeight w:val="629"/>
        </w:trPr>
        <w:tc>
          <w:tcPr>
            <w:tcW w:w="9558" w:type="dxa"/>
            <w:tcBorders>
              <w:bottom w:val="single" w:sz="4" w:space="0" w:color="auto"/>
            </w:tcBorders>
            <w:shd w:val="clear" w:color="auto" w:fill="31849B" w:themeFill="accent5" w:themeFillShade="BF"/>
            <w:vAlign w:val="center"/>
          </w:tcPr>
          <w:p w14:paraId="4F18423F" w14:textId="3277EDCA" w:rsidR="00AA6A7F" w:rsidRPr="00093DC8" w:rsidRDefault="00226E8F" w:rsidP="00AA6A7F">
            <w:pPr>
              <w:spacing w:before="100" w:beforeAutospacing="1" w:after="100" w:afterAutospacing="1"/>
              <w:rPr>
                <w:rFonts w:cstheme="minorHAnsi"/>
                <w:b/>
                <w:color w:val="FFFFFF" w:themeColor="background1"/>
                <w:sz w:val="24"/>
              </w:rPr>
            </w:pPr>
            <w:r>
              <w:rPr>
                <w:rFonts w:cstheme="minorHAnsi"/>
                <w:b/>
                <w:color w:val="FFFFFF" w:themeColor="background1"/>
                <w:sz w:val="24"/>
              </w:rPr>
              <w:t>Daily Acts of Advocacy</w:t>
            </w:r>
          </w:p>
        </w:tc>
      </w:tr>
      <w:tr w:rsidR="00AA6A7F" w:rsidRPr="00093DC8" w14:paraId="7BA116B4" w14:textId="77777777" w:rsidTr="00523EA2">
        <w:trPr>
          <w:trHeight w:val="1070"/>
        </w:trPr>
        <w:tc>
          <w:tcPr>
            <w:tcW w:w="9558" w:type="dxa"/>
            <w:tcBorders>
              <w:bottom w:val="single" w:sz="4" w:space="0" w:color="auto"/>
            </w:tcBorders>
          </w:tcPr>
          <w:p w14:paraId="28F6186A" w14:textId="3928D713" w:rsidR="00C767E4" w:rsidRDefault="00226E8F" w:rsidP="00CB74FA">
            <w:pPr>
              <w:contextualSpacing/>
              <w:rPr>
                <w:rFonts w:cstheme="minorHAnsi"/>
                <w:sz w:val="24"/>
              </w:rPr>
            </w:pPr>
            <w:r>
              <w:rPr>
                <w:rFonts w:cstheme="minorHAnsi"/>
                <w:sz w:val="24"/>
              </w:rPr>
              <w:t>Kate shared some of her library’s “daily acts of advocacy” in the webinar, including bookmarks, displays, and library card sign up at community events. Brainstorm some of the daily activities your library could add to your everyday advocacy efforts:</w:t>
            </w:r>
          </w:p>
          <w:p w14:paraId="5F1CC0E8" w14:textId="77777777" w:rsidR="00226E8F" w:rsidRPr="00F024A2" w:rsidRDefault="00226E8F" w:rsidP="00C44BA0">
            <w:pPr>
              <w:pStyle w:val="NoSpacing"/>
            </w:pPr>
          </w:p>
          <w:p w14:paraId="37B993AE" w14:textId="155B4DF2" w:rsidR="00226E8F" w:rsidRDefault="00226E8F" w:rsidP="00C44BA0">
            <w:pPr>
              <w:pStyle w:val="NoSpacing"/>
              <w:numPr>
                <w:ilvl w:val="0"/>
                <w:numId w:val="1"/>
              </w:numPr>
              <w:spacing w:line="480" w:lineRule="auto"/>
              <w:rPr>
                <w:rFonts w:ascii="Calibri" w:hAnsi="Calibri"/>
              </w:rPr>
            </w:pPr>
            <w:r w:rsidRPr="006F3F7A">
              <w:rPr>
                <w:rFonts w:ascii="Calibri" w:hAnsi="Calibri"/>
              </w:rPr>
              <w:t xml:space="preserve"> </w:t>
            </w:r>
          </w:p>
          <w:p w14:paraId="6AC9F123" w14:textId="77777777" w:rsidR="00C44BA0" w:rsidRPr="00226E8F" w:rsidRDefault="00C44BA0" w:rsidP="00C44BA0">
            <w:pPr>
              <w:pStyle w:val="NoSpacing"/>
              <w:numPr>
                <w:ilvl w:val="0"/>
                <w:numId w:val="1"/>
              </w:numPr>
              <w:spacing w:line="480" w:lineRule="auto"/>
              <w:rPr>
                <w:rFonts w:ascii="Calibri" w:hAnsi="Calibri"/>
              </w:rPr>
            </w:pPr>
          </w:p>
          <w:p w14:paraId="65634968" w14:textId="792A8B0F" w:rsidR="00226E8F" w:rsidRDefault="00226E8F" w:rsidP="00C44BA0">
            <w:pPr>
              <w:pStyle w:val="NoSpacing"/>
              <w:numPr>
                <w:ilvl w:val="0"/>
                <w:numId w:val="1"/>
              </w:numPr>
              <w:spacing w:line="480" w:lineRule="auto"/>
              <w:rPr>
                <w:rFonts w:ascii="Calibri" w:hAnsi="Calibri"/>
              </w:rPr>
            </w:pPr>
            <w:r w:rsidRPr="006F3F7A">
              <w:rPr>
                <w:rFonts w:ascii="Calibri" w:hAnsi="Calibri"/>
              </w:rPr>
              <w:t xml:space="preserve"> </w:t>
            </w:r>
          </w:p>
          <w:p w14:paraId="7025B1E9" w14:textId="77777777" w:rsidR="00226E8F" w:rsidRPr="006F3F7A" w:rsidRDefault="00226E8F" w:rsidP="00C44BA0">
            <w:pPr>
              <w:pStyle w:val="NoSpacing"/>
              <w:numPr>
                <w:ilvl w:val="0"/>
                <w:numId w:val="1"/>
              </w:numPr>
              <w:spacing w:line="480" w:lineRule="auto"/>
              <w:rPr>
                <w:rFonts w:ascii="Calibri" w:hAnsi="Calibri"/>
              </w:rPr>
            </w:pPr>
          </w:p>
          <w:p w14:paraId="18934C1B" w14:textId="77777777" w:rsidR="004E70AF" w:rsidRPr="00C44BA0" w:rsidRDefault="004E70AF" w:rsidP="00C44BA0">
            <w:pPr>
              <w:pStyle w:val="ListParagraph"/>
              <w:numPr>
                <w:ilvl w:val="0"/>
                <w:numId w:val="1"/>
              </w:numPr>
              <w:spacing w:line="480" w:lineRule="auto"/>
              <w:contextualSpacing/>
              <w:rPr>
                <w:rFonts w:cstheme="minorHAnsi"/>
                <w:sz w:val="24"/>
              </w:rPr>
            </w:pPr>
          </w:p>
          <w:p w14:paraId="19340499" w14:textId="37923097" w:rsidR="0069037B" w:rsidRPr="00093DC8" w:rsidRDefault="0069037B" w:rsidP="00CB74FA">
            <w:pPr>
              <w:contextualSpacing/>
              <w:rPr>
                <w:rFonts w:cstheme="minorHAnsi"/>
                <w:sz w:val="24"/>
              </w:rPr>
            </w:pPr>
          </w:p>
        </w:tc>
      </w:tr>
      <w:tr w:rsidR="00093DC8" w:rsidRPr="00093DC8" w14:paraId="31B778DD" w14:textId="77777777" w:rsidTr="00F024A2">
        <w:trPr>
          <w:cantSplit/>
          <w:trHeight w:val="656"/>
        </w:trPr>
        <w:tc>
          <w:tcPr>
            <w:tcW w:w="9558" w:type="dxa"/>
            <w:shd w:val="clear" w:color="auto" w:fill="31849B" w:themeFill="accent5" w:themeFillShade="BF"/>
            <w:vAlign w:val="center"/>
          </w:tcPr>
          <w:p w14:paraId="765EE656" w14:textId="1B6BFFD7" w:rsidR="00F024A2" w:rsidRPr="00F024A2" w:rsidRDefault="001C7008" w:rsidP="00371F3F">
            <w:pPr>
              <w:spacing w:before="100" w:beforeAutospacing="1" w:after="100" w:afterAutospacing="1"/>
              <w:rPr>
                <w:rFonts w:ascii="Calibri" w:eastAsia="Calibri" w:hAnsi="Calibri" w:cs="Calibri"/>
                <w:color w:val="FFFFFF"/>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C44BA0" w:rsidRPr="00093DC8" w14:paraId="7580DEBA" w14:textId="77777777" w:rsidTr="00C44BA0">
        <w:trPr>
          <w:cantSplit/>
          <w:trHeight w:val="656"/>
        </w:trPr>
        <w:tc>
          <w:tcPr>
            <w:tcW w:w="9558" w:type="dxa"/>
            <w:shd w:val="clear" w:color="auto" w:fill="auto"/>
            <w:vAlign w:val="center"/>
          </w:tcPr>
          <w:p w14:paraId="17F187EE" w14:textId="77777777" w:rsidR="00C44BA0" w:rsidRDefault="00C44BA0" w:rsidP="00371F3F">
            <w:pPr>
              <w:spacing w:before="100" w:beforeAutospacing="1" w:after="100" w:afterAutospacing="1"/>
              <w:rPr>
                <w:b/>
                <w:color w:val="FFFFFF"/>
                <w:sz w:val="24"/>
                <w:shd w:val="clear" w:color="auto" w:fill="31849B"/>
              </w:rPr>
            </w:pPr>
          </w:p>
          <w:p w14:paraId="0126421F" w14:textId="77777777" w:rsidR="00C44BA0" w:rsidRDefault="00C44BA0" w:rsidP="00371F3F">
            <w:pPr>
              <w:spacing w:before="100" w:beforeAutospacing="1" w:after="100" w:afterAutospacing="1"/>
              <w:rPr>
                <w:b/>
                <w:color w:val="FFFFFF"/>
                <w:sz w:val="24"/>
                <w:shd w:val="clear" w:color="auto" w:fill="31849B"/>
              </w:rPr>
            </w:pPr>
            <w:bookmarkStart w:id="0" w:name="_GoBack"/>
            <w:bookmarkEnd w:id="0"/>
          </w:p>
          <w:p w14:paraId="65CE7F67" w14:textId="77777777" w:rsidR="00C44BA0" w:rsidRDefault="00C44BA0" w:rsidP="00371F3F">
            <w:pPr>
              <w:spacing w:before="100" w:beforeAutospacing="1" w:after="100" w:afterAutospacing="1"/>
              <w:rPr>
                <w:b/>
                <w:color w:val="FFFFFF"/>
                <w:sz w:val="24"/>
                <w:shd w:val="clear" w:color="auto" w:fill="31849B"/>
              </w:rPr>
            </w:pPr>
          </w:p>
          <w:p w14:paraId="4DC862B6" w14:textId="77777777" w:rsidR="00C44BA0" w:rsidRDefault="00C44BA0" w:rsidP="00371F3F">
            <w:pPr>
              <w:spacing w:before="100" w:beforeAutospacing="1" w:after="100" w:afterAutospacing="1"/>
              <w:rPr>
                <w:b/>
                <w:color w:val="FFFFFF"/>
                <w:sz w:val="24"/>
                <w:shd w:val="clear" w:color="auto" w:fill="31849B"/>
              </w:rPr>
            </w:pPr>
          </w:p>
          <w:p w14:paraId="2415DB0A" w14:textId="3DFA7E34" w:rsidR="00C44BA0" w:rsidRPr="00E0781A" w:rsidRDefault="00C44BA0" w:rsidP="00371F3F">
            <w:pPr>
              <w:spacing w:before="100" w:beforeAutospacing="1" w:after="100" w:afterAutospacing="1"/>
              <w:rPr>
                <w:b/>
                <w:color w:val="FFFFFF"/>
                <w:sz w:val="24"/>
                <w:shd w:val="clear" w:color="auto" w:fill="31849B"/>
              </w:rPr>
            </w:pPr>
          </w:p>
        </w:tc>
      </w:tr>
    </w:tbl>
    <w:p w14:paraId="6552EC76" w14:textId="77777777" w:rsidR="000D302A" w:rsidRDefault="000D302A"/>
    <w:sectPr w:rsidR="000D302A" w:rsidSect="00C8745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CA2AF" w14:textId="77777777" w:rsidR="008D45F8" w:rsidRDefault="008D45F8" w:rsidP="0071561B">
      <w:pPr>
        <w:spacing w:after="0" w:line="240" w:lineRule="auto"/>
      </w:pPr>
      <w:r>
        <w:separator/>
      </w:r>
    </w:p>
  </w:endnote>
  <w:endnote w:type="continuationSeparator" w:id="0">
    <w:p w14:paraId="1828F7C5" w14:textId="77777777" w:rsidR="008D45F8" w:rsidRDefault="008D45F8"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3BE20" w14:textId="77777777" w:rsidR="008D45F8" w:rsidRDefault="008D45F8" w:rsidP="0071561B">
      <w:pPr>
        <w:spacing w:after="0" w:line="240" w:lineRule="auto"/>
      </w:pPr>
      <w:r>
        <w:separator/>
      </w:r>
    </w:p>
  </w:footnote>
  <w:footnote w:type="continuationSeparator" w:id="0">
    <w:p w14:paraId="6265012D" w14:textId="77777777" w:rsidR="008D45F8" w:rsidRDefault="008D45F8"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7EE"/>
    <w:multiLevelType w:val="hybridMultilevel"/>
    <w:tmpl w:val="160E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
  </w:num>
  <w:num w:numId="3">
    <w:abstractNumId w:val="12"/>
  </w:num>
  <w:num w:numId="4">
    <w:abstractNumId w:val="3"/>
  </w:num>
  <w:num w:numId="5">
    <w:abstractNumId w:val="4"/>
  </w:num>
  <w:num w:numId="6">
    <w:abstractNumId w:val="8"/>
  </w:num>
  <w:num w:numId="7">
    <w:abstractNumId w:val="7"/>
  </w:num>
  <w:num w:numId="8">
    <w:abstractNumId w:val="5"/>
  </w:num>
  <w:num w:numId="9">
    <w:abstractNumId w:val="6"/>
  </w:num>
  <w:num w:numId="10">
    <w:abstractNumId w:val="13"/>
  </w:num>
  <w:num w:numId="11">
    <w:abstractNumId w:val="23"/>
  </w:num>
  <w:num w:numId="12">
    <w:abstractNumId w:val="21"/>
  </w:num>
  <w:num w:numId="13">
    <w:abstractNumId w:val="9"/>
  </w:num>
  <w:num w:numId="14">
    <w:abstractNumId w:val="10"/>
  </w:num>
  <w:num w:numId="15">
    <w:abstractNumId w:val="15"/>
  </w:num>
  <w:num w:numId="16">
    <w:abstractNumId w:val="0"/>
  </w:num>
  <w:num w:numId="17">
    <w:abstractNumId w:val="20"/>
  </w:num>
  <w:num w:numId="18">
    <w:abstractNumId w:val="19"/>
  </w:num>
  <w:num w:numId="19">
    <w:abstractNumId w:val="11"/>
  </w:num>
  <w:num w:numId="20">
    <w:abstractNumId w:val="17"/>
  </w:num>
  <w:num w:numId="21">
    <w:abstractNumId w:val="16"/>
  </w:num>
  <w:num w:numId="22">
    <w:abstractNumId w:val="14"/>
  </w:num>
  <w:num w:numId="23">
    <w:abstractNumId w:val="18"/>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38D6"/>
    <w:rsid w:val="00034DE7"/>
    <w:rsid w:val="000369F8"/>
    <w:rsid w:val="00045800"/>
    <w:rsid w:val="00047B22"/>
    <w:rsid w:val="00053D62"/>
    <w:rsid w:val="00062954"/>
    <w:rsid w:val="000670BC"/>
    <w:rsid w:val="00071C22"/>
    <w:rsid w:val="0007483E"/>
    <w:rsid w:val="00084612"/>
    <w:rsid w:val="00090469"/>
    <w:rsid w:val="00093DC8"/>
    <w:rsid w:val="000A7428"/>
    <w:rsid w:val="000B35E2"/>
    <w:rsid w:val="000B6B4B"/>
    <w:rsid w:val="000B7638"/>
    <w:rsid w:val="000B783A"/>
    <w:rsid w:val="000B7DF2"/>
    <w:rsid w:val="000C4D4D"/>
    <w:rsid w:val="000D1310"/>
    <w:rsid w:val="000D302A"/>
    <w:rsid w:val="000F293A"/>
    <w:rsid w:val="000F7A16"/>
    <w:rsid w:val="00104107"/>
    <w:rsid w:val="001105DD"/>
    <w:rsid w:val="00117E82"/>
    <w:rsid w:val="00123547"/>
    <w:rsid w:val="00125F41"/>
    <w:rsid w:val="001312BB"/>
    <w:rsid w:val="00133BB6"/>
    <w:rsid w:val="00141E16"/>
    <w:rsid w:val="00145243"/>
    <w:rsid w:val="00147C79"/>
    <w:rsid w:val="001547E5"/>
    <w:rsid w:val="00157690"/>
    <w:rsid w:val="00160C62"/>
    <w:rsid w:val="00167547"/>
    <w:rsid w:val="00181B74"/>
    <w:rsid w:val="001923A3"/>
    <w:rsid w:val="001B1993"/>
    <w:rsid w:val="001B4681"/>
    <w:rsid w:val="001C7008"/>
    <w:rsid w:val="001C7229"/>
    <w:rsid w:val="001D18C6"/>
    <w:rsid w:val="001D5FA5"/>
    <w:rsid w:val="001E3BA5"/>
    <w:rsid w:val="001E7442"/>
    <w:rsid w:val="00204D72"/>
    <w:rsid w:val="0020728A"/>
    <w:rsid w:val="00207A18"/>
    <w:rsid w:val="00226E8F"/>
    <w:rsid w:val="00234855"/>
    <w:rsid w:val="00241403"/>
    <w:rsid w:val="00243649"/>
    <w:rsid w:val="00243DCB"/>
    <w:rsid w:val="002476A5"/>
    <w:rsid w:val="00257AB7"/>
    <w:rsid w:val="00265C9D"/>
    <w:rsid w:val="002811D0"/>
    <w:rsid w:val="00284D68"/>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3CBD"/>
    <w:rsid w:val="003333A3"/>
    <w:rsid w:val="00371F3F"/>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337BE"/>
    <w:rsid w:val="004367FC"/>
    <w:rsid w:val="004375BB"/>
    <w:rsid w:val="00441650"/>
    <w:rsid w:val="004449A9"/>
    <w:rsid w:val="00453046"/>
    <w:rsid w:val="0045392B"/>
    <w:rsid w:val="00476A3B"/>
    <w:rsid w:val="00482F9C"/>
    <w:rsid w:val="004B17F0"/>
    <w:rsid w:val="004B27CB"/>
    <w:rsid w:val="004C5BB7"/>
    <w:rsid w:val="004E2994"/>
    <w:rsid w:val="004E4C58"/>
    <w:rsid w:val="004E6F4A"/>
    <w:rsid w:val="004E70AF"/>
    <w:rsid w:val="005123E6"/>
    <w:rsid w:val="00517D72"/>
    <w:rsid w:val="00523EA2"/>
    <w:rsid w:val="00560CCE"/>
    <w:rsid w:val="0056137C"/>
    <w:rsid w:val="00565D92"/>
    <w:rsid w:val="00576BA3"/>
    <w:rsid w:val="00580BF8"/>
    <w:rsid w:val="0058661B"/>
    <w:rsid w:val="00590C90"/>
    <w:rsid w:val="005A6DBF"/>
    <w:rsid w:val="005B442B"/>
    <w:rsid w:val="005B68CE"/>
    <w:rsid w:val="005D1846"/>
    <w:rsid w:val="00601754"/>
    <w:rsid w:val="006121AB"/>
    <w:rsid w:val="00627565"/>
    <w:rsid w:val="00633A02"/>
    <w:rsid w:val="00652686"/>
    <w:rsid w:val="006561D8"/>
    <w:rsid w:val="00657E8E"/>
    <w:rsid w:val="00660CB3"/>
    <w:rsid w:val="006636EC"/>
    <w:rsid w:val="00681BF6"/>
    <w:rsid w:val="00684379"/>
    <w:rsid w:val="00684A49"/>
    <w:rsid w:val="0069037B"/>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561B"/>
    <w:rsid w:val="00720511"/>
    <w:rsid w:val="00731ECF"/>
    <w:rsid w:val="00742D07"/>
    <w:rsid w:val="0075350D"/>
    <w:rsid w:val="00760544"/>
    <w:rsid w:val="00763B56"/>
    <w:rsid w:val="00764B5D"/>
    <w:rsid w:val="007658AC"/>
    <w:rsid w:val="0077047D"/>
    <w:rsid w:val="00770E6E"/>
    <w:rsid w:val="0077633D"/>
    <w:rsid w:val="00783286"/>
    <w:rsid w:val="00785C6A"/>
    <w:rsid w:val="007949AE"/>
    <w:rsid w:val="00794D5E"/>
    <w:rsid w:val="00797890"/>
    <w:rsid w:val="007B2735"/>
    <w:rsid w:val="007B354B"/>
    <w:rsid w:val="007B3B82"/>
    <w:rsid w:val="007C1B15"/>
    <w:rsid w:val="007C7128"/>
    <w:rsid w:val="007F54A6"/>
    <w:rsid w:val="007F64A1"/>
    <w:rsid w:val="00805346"/>
    <w:rsid w:val="00805F2D"/>
    <w:rsid w:val="00813B49"/>
    <w:rsid w:val="00814479"/>
    <w:rsid w:val="00833AB7"/>
    <w:rsid w:val="00833F20"/>
    <w:rsid w:val="00837098"/>
    <w:rsid w:val="00837C38"/>
    <w:rsid w:val="00856E11"/>
    <w:rsid w:val="008623BE"/>
    <w:rsid w:val="00880AA2"/>
    <w:rsid w:val="0088753B"/>
    <w:rsid w:val="008945A5"/>
    <w:rsid w:val="008A3CC4"/>
    <w:rsid w:val="008A4A0E"/>
    <w:rsid w:val="008A696B"/>
    <w:rsid w:val="008B121C"/>
    <w:rsid w:val="008B3349"/>
    <w:rsid w:val="008C4BAD"/>
    <w:rsid w:val="008D1397"/>
    <w:rsid w:val="008D45F8"/>
    <w:rsid w:val="008D4B7A"/>
    <w:rsid w:val="008E7FB2"/>
    <w:rsid w:val="008F5C21"/>
    <w:rsid w:val="00900B65"/>
    <w:rsid w:val="00902983"/>
    <w:rsid w:val="00905365"/>
    <w:rsid w:val="009127BA"/>
    <w:rsid w:val="00912E44"/>
    <w:rsid w:val="00913951"/>
    <w:rsid w:val="00913A7E"/>
    <w:rsid w:val="00924401"/>
    <w:rsid w:val="00933DEB"/>
    <w:rsid w:val="00933EA4"/>
    <w:rsid w:val="00935EC6"/>
    <w:rsid w:val="00936A6B"/>
    <w:rsid w:val="00937EE7"/>
    <w:rsid w:val="00942DF7"/>
    <w:rsid w:val="00950165"/>
    <w:rsid w:val="0095466D"/>
    <w:rsid w:val="00960C24"/>
    <w:rsid w:val="00966702"/>
    <w:rsid w:val="0098010D"/>
    <w:rsid w:val="00981923"/>
    <w:rsid w:val="0098781A"/>
    <w:rsid w:val="0099380A"/>
    <w:rsid w:val="0099601A"/>
    <w:rsid w:val="009B10CF"/>
    <w:rsid w:val="009B3177"/>
    <w:rsid w:val="009B5309"/>
    <w:rsid w:val="009D75FF"/>
    <w:rsid w:val="009E0CE2"/>
    <w:rsid w:val="009E0D52"/>
    <w:rsid w:val="009F353C"/>
    <w:rsid w:val="00A16636"/>
    <w:rsid w:val="00A20152"/>
    <w:rsid w:val="00A34A5B"/>
    <w:rsid w:val="00A35C65"/>
    <w:rsid w:val="00A36FA0"/>
    <w:rsid w:val="00A4083B"/>
    <w:rsid w:val="00A65F24"/>
    <w:rsid w:val="00A808B9"/>
    <w:rsid w:val="00A83E41"/>
    <w:rsid w:val="00A83F97"/>
    <w:rsid w:val="00A867CE"/>
    <w:rsid w:val="00A935A0"/>
    <w:rsid w:val="00A97B6F"/>
    <w:rsid w:val="00AA0665"/>
    <w:rsid w:val="00AA15ED"/>
    <w:rsid w:val="00AA6A7F"/>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4730"/>
    <w:rsid w:val="00B75CCE"/>
    <w:rsid w:val="00B83C15"/>
    <w:rsid w:val="00B91B33"/>
    <w:rsid w:val="00B97CFE"/>
    <w:rsid w:val="00BA1F2A"/>
    <w:rsid w:val="00BB4E00"/>
    <w:rsid w:val="00BC0C10"/>
    <w:rsid w:val="00BC24CF"/>
    <w:rsid w:val="00BC37FC"/>
    <w:rsid w:val="00BD1C2B"/>
    <w:rsid w:val="00BD306D"/>
    <w:rsid w:val="00BD582E"/>
    <w:rsid w:val="00BD5A1D"/>
    <w:rsid w:val="00BD5CE0"/>
    <w:rsid w:val="00BE7E56"/>
    <w:rsid w:val="00C0110D"/>
    <w:rsid w:val="00C1701A"/>
    <w:rsid w:val="00C34336"/>
    <w:rsid w:val="00C44B02"/>
    <w:rsid w:val="00C44BA0"/>
    <w:rsid w:val="00C5601F"/>
    <w:rsid w:val="00C70DC4"/>
    <w:rsid w:val="00C767E4"/>
    <w:rsid w:val="00C81275"/>
    <w:rsid w:val="00C82CE4"/>
    <w:rsid w:val="00C84A7B"/>
    <w:rsid w:val="00C86422"/>
    <w:rsid w:val="00C87458"/>
    <w:rsid w:val="00C976DF"/>
    <w:rsid w:val="00CA33B9"/>
    <w:rsid w:val="00CA3FE3"/>
    <w:rsid w:val="00CA61C6"/>
    <w:rsid w:val="00CB4B10"/>
    <w:rsid w:val="00CB74FA"/>
    <w:rsid w:val="00CD4D9F"/>
    <w:rsid w:val="00CE50BA"/>
    <w:rsid w:val="00CF3BA7"/>
    <w:rsid w:val="00D05126"/>
    <w:rsid w:val="00D1325C"/>
    <w:rsid w:val="00D15169"/>
    <w:rsid w:val="00D1763F"/>
    <w:rsid w:val="00D27B0F"/>
    <w:rsid w:val="00D372F6"/>
    <w:rsid w:val="00D45D0D"/>
    <w:rsid w:val="00D45E4E"/>
    <w:rsid w:val="00D54DE2"/>
    <w:rsid w:val="00D64E74"/>
    <w:rsid w:val="00D73480"/>
    <w:rsid w:val="00D902EA"/>
    <w:rsid w:val="00D95D15"/>
    <w:rsid w:val="00DA3452"/>
    <w:rsid w:val="00DB7326"/>
    <w:rsid w:val="00DC2255"/>
    <w:rsid w:val="00DC3919"/>
    <w:rsid w:val="00DC50C6"/>
    <w:rsid w:val="00DD2502"/>
    <w:rsid w:val="00DD7031"/>
    <w:rsid w:val="00DE6F0A"/>
    <w:rsid w:val="00DF2BE7"/>
    <w:rsid w:val="00E038CE"/>
    <w:rsid w:val="00E05925"/>
    <w:rsid w:val="00E06D03"/>
    <w:rsid w:val="00E0781A"/>
    <w:rsid w:val="00E12483"/>
    <w:rsid w:val="00E20818"/>
    <w:rsid w:val="00E22563"/>
    <w:rsid w:val="00E303C9"/>
    <w:rsid w:val="00E40077"/>
    <w:rsid w:val="00E60C42"/>
    <w:rsid w:val="00E62CE0"/>
    <w:rsid w:val="00E67487"/>
    <w:rsid w:val="00E707BC"/>
    <w:rsid w:val="00E7272F"/>
    <w:rsid w:val="00E758F8"/>
    <w:rsid w:val="00E7782D"/>
    <w:rsid w:val="00E868EF"/>
    <w:rsid w:val="00E91D52"/>
    <w:rsid w:val="00EA7CFE"/>
    <w:rsid w:val="00EB17A3"/>
    <w:rsid w:val="00EB7559"/>
    <w:rsid w:val="00ED7C10"/>
    <w:rsid w:val="00F024A2"/>
    <w:rsid w:val="00F044AE"/>
    <w:rsid w:val="00F165EC"/>
    <w:rsid w:val="00F2724D"/>
    <w:rsid w:val="00F4231E"/>
    <w:rsid w:val="00F42F53"/>
    <w:rsid w:val="00F700F1"/>
    <w:rsid w:val="00F831AB"/>
    <w:rsid w:val="00F876D7"/>
    <w:rsid w:val="00F90677"/>
    <w:rsid w:val="00FA0618"/>
    <w:rsid w:val="00FA06FF"/>
    <w:rsid w:val="00FB05A7"/>
    <w:rsid w:val="00FB4925"/>
    <w:rsid w:val="00FB4CB1"/>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advocacy-101.html" TargetMode="External"/><Relationship Id="rId13" Type="http://schemas.openxmlformats.org/officeDocument/2006/relationships/hyperlink" Target="https://www.webjunction.org/explore-topics/advocacy-in-action/generate-engagemen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ebjunction.org/explore-topics/advocacy-in-action/create-awarenes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junction.org/explore-topics/advocacy-in-action/plan-your-campaign.html" TargetMode="External"/><Relationship Id="rId5" Type="http://schemas.openxmlformats.org/officeDocument/2006/relationships/webSettings" Target="webSettings.xml"/><Relationship Id="rId15" Type="http://schemas.openxmlformats.org/officeDocument/2006/relationships/hyperlink" Target="https://www.webjunction.org/explore-topics/advocacy-in-action/sustain-the-momentum.html" TargetMode="External"/><Relationship Id="rId23" Type="http://schemas.openxmlformats.org/officeDocument/2006/relationships/theme" Target="theme/theme1.xml"/><Relationship Id="rId10" Type="http://schemas.openxmlformats.org/officeDocument/2006/relationships/hyperlink" Target="https://www.webjunction.org/explore-topics/advocacy-in-actio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rsl.info" TargetMode="External"/><Relationship Id="rId14" Type="http://schemas.openxmlformats.org/officeDocument/2006/relationships/hyperlink" Target="https://www.webjunction.org/explore-topics/advocacy-in-action/encourage-actio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EB327-C5D3-488F-92D0-D8A975B0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3</cp:revision>
  <dcterms:created xsi:type="dcterms:W3CDTF">2019-11-05T23:20:00Z</dcterms:created>
  <dcterms:modified xsi:type="dcterms:W3CDTF">2019-11-05T23:26:00Z</dcterms:modified>
</cp:coreProperties>
</file>