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D0C7B" w:rsidRDefault="000D0C7B">
      <w:pPr>
        <w:rPr>
          <w:sz w:val="20"/>
          <w:szCs w:val="20"/>
        </w:rPr>
      </w:pPr>
    </w:p>
    <w:p w14:paraId="00000002" w14:textId="70855AB4" w:rsidR="000D0C7B" w:rsidRDefault="0076065A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Here are the answers to questions in chat that we </w:t>
      </w:r>
      <w:r w:rsidRPr="006A2F19">
        <w:rPr>
          <w:sz w:val="20"/>
          <w:szCs w:val="20"/>
        </w:rPr>
        <w:t xml:space="preserve">were unable to address during the </w:t>
      </w:r>
      <w:hyperlink r:id="rId7" w:history="1">
        <w:r w:rsidR="00D50AE0" w:rsidRPr="00D50AE0">
          <w:rPr>
            <w:rStyle w:val="Hyperlink"/>
            <w:sz w:val="20"/>
            <w:szCs w:val="20"/>
          </w:rPr>
          <w:t>w</w:t>
        </w:r>
        <w:r w:rsidRPr="00D50AE0">
          <w:rPr>
            <w:rStyle w:val="Hyperlink"/>
            <w:sz w:val="20"/>
            <w:szCs w:val="20"/>
          </w:rPr>
          <w:t>ebinar</w:t>
        </w:r>
      </w:hyperlink>
      <w:bookmarkStart w:id="0" w:name="_GoBack"/>
      <w:bookmarkEnd w:id="0"/>
      <w:r w:rsidR="006A2F19" w:rsidRPr="006A2F19">
        <w:rPr>
          <w:sz w:val="20"/>
          <w:szCs w:val="20"/>
        </w:rPr>
        <w:t>.</w:t>
      </w:r>
    </w:p>
    <w:p w14:paraId="00000003" w14:textId="77777777" w:rsidR="000D0C7B" w:rsidRDefault="000D0C7B">
      <w:pPr>
        <w:rPr>
          <w:sz w:val="20"/>
          <w:szCs w:val="20"/>
        </w:rPr>
      </w:pPr>
    </w:p>
    <w:p w14:paraId="00000004" w14:textId="6EDD9938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Any thoughts on adapting these planning ideas for smaller libraries with 5 total staff members?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think the basic structure scales to any size.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For example</w:t>
      </w:r>
      <w:r w:rsidR="006A2F19">
        <w:rPr>
          <w:sz w:val="20"/>
          <w:szCs w:val="20"/>
        </w:rPr>
        <w:t>:</w:t>
      </w:r>
    </w:p>
    <w:p w14:paraId="00000005" w14:textId="733CDEE2" w:rsidR="000D0C7B" w:rsidRDefault="0076065A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Start with shared Values</w:t>
      </w:r>
      <w:r>
        <w:rPr>
          <w:sz w:val="20"/>
          <w:szCs w:val="20"/>
        </w:rPr>
        <w:t>: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Develop a shared values/culture statement.</w:t>
      </w:r>
    </w:p>
    <w:p w14:paraId="013F81FC" w14:textId="77777777" w:rsidR="006A2F19" w:rsidRDefault="006A2F19" w:rsidP="006A2F19">
      <w:pPr>
        <w:ind w:left="1440"/>
        <w:rPr>
          <w:sz w:val="20"/>
          <w:szCs w:val="20"/>
        </w:rPr>
      </w:pPr>
    </w:p>
    <w:p w14:paraId="00000006" w14:textId="7C6A5A03" w:rsidR="000D0C7B" w:rsidRDefault="0076065A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Develop Outcome Areas Based</w:t>
      </w:r>
      <w:r>
        <w:rPr>
          <w:b/>
          <w:sz w:val="20"/>
          <w:szCs w:val="20"/>
        </w:rPr>
        <w:t xml:space="preserve"> on Community Aspirations and Needs</w:t>
      </w:r>
      <w:r>
        <w:rPr>
          <w:sz w:val="20"/>
          <w:szCs w:val="20"/>
        </w:rPr>
        <w:t>: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Speak with patrons and community members about their aspirations, needs, challenges.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Develop a set of strategic areas (i.e. literacy, health, civics) where your library is well-positioned to have a positive impact.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z w:val="20"/>
          <w:szCs w:val="20"/>
        </w:rPr>
        <w:t>nvite your staff to brainstorm ideas and experiment with new approaches to achieve outcomes.</w:t>
      </w:r>
    </w:p>
    <w:p w14:paraId="170C3182" w14:textId="77777777" w:rsidR="006A2F19" w:rsidRDefault="006A2F19" w:rsidP="006A2F19">
      <w:pPr>
        <w:rPr>
          <w:sz w:val="20"/>
          <w:szCs w:val="20"/>
        </w:rPr>
      </w:pPr>
    </w:p>
    <w:p w14:paraId="00000007" w14:textId="0739CED4" w:rsidR="000D0C7B" w:rsidRDefault="0076065A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Elevate Experiences</w:t>
      </w:r>
      <w:r>
        <w:rPr>
          <w:sz w:val="20"/>
          <w:szCs w:val="20"/>
        </w:rPr>
        <w:t>: Invite staff to have short conversations with patrons about what adds to their positive experiences at the Library, and what the Library could</w:t>
      </w:r>
      <w:r>
        <w:rPr>
          <w:sz w:val="20"/>
          <w:szCs w:val="20"/>
        </w:rPr>
        <w:t xml:space="preserve"> do to create better experiences.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Invite staff to walk through the library as if they were a patron with a specific goal (i.e. checking out a book, studying), and then record and share what that experience was like.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00000008" w14:textId="5CD951BD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So is the plan that this type of pla</w:t>
      </w:r>
      <w:r>
        <w:rPr>
          <w:b/>
          <w:sz w:val="20"/>
          <w:szCs w:val="20"/>
        </w:rPr>
        <w:t>nning happens on a rolling basis, annual basis or ??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Yes, the plan is that we continue to have conversations (both short-form and long-form) with patrons, and continue to convene conversations with community leaders and partners, as well as looking more c</w:t>
      </w:r>
      <w:r>
        <w:rPr>
          <w:sz w:val="20"/>
          <w:szCs w:val="20"/>
        </w:rPr>
        <w:t>ontinually at demographics</w:t>
      </w:r>
      <w:r>
        <w:rPr>
          <w:sz w:val="20"/>
          <w:szCs w:val="20"/>
        </w:rPr>
        <w:t xml:space="preserve"> to create a more continual feedback loop that informs our decisions and resource allocations. Simultaneously, we will continue to deepen our knowledge and practice of service design tools and methods (Research, Ideate, Prototype</w:t>
      </w:r>
      <w:r>
        <w:rPr>
          <w:sz w:val="20"/>
          <w:szCs w:val="20"/>
        </w:rPr>
        <w:t>, Evaluate, or put another way: Empathize, brainstorm, experiment, Learn, Iterate.)</w:t>
      </w:r>
      <w:r>
        <w:rPr>
          <w:sz w:val="20"/>
          <w:szCs w:val="20"/>
        </w:rPr>
        <w:br/>
      </w:r>
    </w:p>
    <w:p w14:paraId="00000009" w14:textId="1527A98A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I need more info on that Holds to Go!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Holds-to-go is an experiment that is being developed to provide express holds pickup, delivered to your car.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One of our branches ha</w:t>
      </w:r>
      <w:r>
        <w:rPr>
          <w:sz w:val="20"/>
          <w:szCs w:val="20"/>
        </w:rPr>
        <w:t>s very limited parking, and a difficult entrance experience.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We are going to experiment with having a reserved parking spot for holds pickup, and a staff member will deliver the holds right to the car. The hypothesis is that this will provide an exception</w:t>
      </w:r>
      <w:r>
        <w:rPr>
          <w:sz w:val="20"/>
          <w:szCs w:val="20"/>
        </w:rPr>
        <w:t>al experience for patrons</w:t>
      </w:r>
      <w:r>
        <w:rPr>
          <w:sz w:val="20"/>
          <w:szCs w:val="20"/>
        </w:rPr>
        <w:t xml:space="preserve"> and help alleviate parking issues. Stay tuned!</w:t>
      </w:r>
      <w:r>
        <w:rPr>
          <w:sz w:val="20"/>
          <w:szCs w:val="20"/>
        </w:rPr>
        <w:br/>
      </w:r>
    </w:p>
    <w:p w14:paraId="0000000A" w14:textId="20E3589C" w:rsidR="000D0C7B" w:rsidRDefault="007606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What kinds of new programs [were created as a result of customer intercepts]?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Staff created a new "</w:t>
      </w:r>
      <w:hyperlink r:id="rId8">
        <w:r>
          <w:rPr>
            <w:color w:val="1155CC"/>
            <w:sz w:val="20"/>
            <w:szCs w:val="20"/>
            <w:u w:val="single"/>
          </w:rPr>
          <w:t>Fix-It Clinic</w:t>
        </w:r>
      </w:hyperlink>
      <w:r>
        <w:rPr>
          <w:sz w:val="20"/>
          <w:szCs w:val="20"/>
        </w:rPr>
        <w:t>" program,</w:t>
      </w:r>
      <w:r>
        <w:rPr>
          <w:sz w:val="20"/>
          <w:szCs w:val="20"/>
        </w:rPr>
        <w:t xml:space="preserve"> in partnership with Utah Recycling Alliance, that just launched and was extremely well attended.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One of our librarians is working with another partner, "Salty City", to offer writing workshops to begin in February. The theme is love stories. Each sessio</w:t>
      </w:r>
      <w:r>
        <w:rPr>
          <w:sz w:val="20"/>
          <w:szCs w:val="20"/>
        </w:rPr>
        <w:t>n will feature a writing prompt, workshop time, discussion and feedback.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The series will be held on the third Saturday of each month and run through April.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These ideas came from customers' answers to the question,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"What would be your dream program, acti</w:t>
      </w:r>
      <w:r>
        <w:rPr>
          <w:sz w:val="20"/>
          <w:szCs w:val="20"/>
        </w:rPr>
        <w:t>vity or service that you'd like offered at the Branch?"</w:t>
      </w:r>
      <w:r w:rsidR="006A2F1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p w14:paraId="77505246" w14:textId="77777777" w:rsidR="006A2F19" w:rsidRPr="006A2F19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What were primary theoretical underpinnings - any key texts, articles, etc. that we might read as we prepare to do this?</w:t>
      </w:r>
    </w:p>
    <w:p w14:paraId="0000000B" w14:textId="686B4C05" w:rsidR="000D0C7B" w:rsidRDefault="0076065A" w:rsidP="006A2F19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>There was no single text that served as a theoretical underpinning.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Rather,</w:t>
      </w:r>
      <w:r>
        <w:rPr>
          <w:sz w:val="20"/>
          <w:szCs w:val="20"/>
        </w:rPr>
        <w:t xml:space="preserve"> it was an insight that we needed to question the purpose and value of traditional strategic planning (i.e. to ensure organizational impact in the community; delivery on our mission) , and question whether a traditional plan made sense or whether another a</w:t>
      </w:r>
      <w:r>
        <w:rPr>
          <w:sz w:val="20"/>
          <w:szCs w:val="20"/>
        </w:rPr>
        <w:t xml:space="preserve">pproach was more appropriate in a rapidly changing world. Our hypothesis is that in a rapidly changing world, building internal organizational and staff capacity to assess, experiment, and adapt would correlate highly with success. </w:t>
      </w:r>
      <w:r>
        <w:rPr>
          <w:sz w:val="20"/>
          <w:szCs w:val="20"/>
        </w:rPr>
        <w:br/>
      </w:r>
    </w:p>
    <w:p w14:paraId="0000000C" w14:textId="77777777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Tips for solo libraria</w:t>
      </w:r>
      <w:r>
        <w:rPr>
          <w:b/>
          <w:sz w:val="20"/>
          <w:szCs w:val="20"/>
        </w:rPr>
        <w:t>n embarking on this for a school library?</w:t>
      </w:r>
    </w:p>
    <w:p w14:paraId="0000000D" w14:textId="77777777" w:rsidR="000D0C7B" w:rsidRDefault="000D0C7B">
      <w:pPr>
        <w:ind w:left="720"/>
        <w:rPr>
          <w:sz w:val="20"/>
          <w:szCs w:val="20"/>
        </w:rPr>
      </w:pPr>
    </w:p>
    <w:p w14:paraId="0000000E" w14:textId="77777777" w:rsidR="000D0C7B" w:rsidRDefault="0076065A">
      <w:pPr>
        <w:ind w:left="720"/>
        <w:rPr>
          <w:sz w:val="20"/>
          <w:szCs w:val="20"/>
        </w:rPr>
      </w:pPr>
      <w:r>
        <w:rPr>
          <w:sz w:val="20"/>
          <w:szCs w:val="20"/>
        </w:rPr>
        <w:t>Start with the core values that exist for your school- this might include a vision or mission statement, and if you feel there is additional need, work to develop some core values for the library itself- what is y</w:t>
      </w:r>
      <w:r>
        <w:rPr>
          <w:sz w:val="20"/>
          <w:szCs w:val="20"/>
        </w:rPr>
        <w:t>our reason for being in existence?</w:t>
      </w:r>
    </w:p>
    <w:p w14:paraId="0000000F" w14:textId="77777777" w:rsidR="000D0C7B" w:rsidRDefault="000D0C7B">
      <w:pPr>
        <w:ind w:left="720"/>
        <w:rPr>
          <w:sz w:val="20"/>
          <w:szCs w:val="20"/>
        </w:rPr>
      </w:pPr>
    </w:p>
    <w:p w14:paraId="00000010" w14:textId="5034A082" w:rsidR="000D0C7B" w:rsidRDefault="0076065A">
      <w:pPr>
        <w:ind w:left="720"/>
        <w:rPr>
          <w:sz w:val="20"/>
          <w:szCs w:val="20"/>
        </w:rPr>
      </w:pPr>
      <w:r>
        <w:rPr>
          <w:sz w:val="20"/>
          <w:szCs w:val="20"/>
        </w:rPr>
        <w:t>Next, start to ask questions, and to interview your stakeholders.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This will most likely include faculty members as well as the students themselves, and possibly even members of the PTA.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Through this process, you will </w:t>
      </w:r>
      <w:r>
        <w:rPr>
          <w:sz w:val="20"/>
          <w:szCs w:val="20"/>
        </w:rPr>
        <w:t>be able to see what the needs of the people whom you are serving are, and this will allow you to start determining some outcomes that you could help to create.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Once you know the desired outcomes, you can use them to help form your strategic goals.</w:t>
      </w:r>
      <w:r w:rsidR="006A2F19">
        <w:rPr>
          <w:sz w:val="20"/>
          <w:szCs w:val="20"/>
        </w:rPr>
        <w:t xml:space="preserve"> </w:t>
      </w:r>
    </w:p>
    <w:p w14:paraId="00000011" w14:textId="77777777" w:rsidR="000D0C7B" w:rsidRDefault="000D0C7B">
      <w:pPr>
        <w:ind w:left="720"/>
        <w:rPr>
          <w:sz w:val="20"/>
          <w:szCs w:val="20"/>
        </w:rPr>
      </w:pPr>
    </w:p>
    <w:p w14:paraId="00000012" w14:textId="78284476" w:rsidR="000D0C7B" w:rsidRDefault="0076065A">
      <w:pPr>
        <w:ind w:left="720"/>
        <w:rPr>
          <w:sz w:val="20"/>
          <w:szCs w:val="20"/>
        </w:rPr>
      </w:pPr>
      <w:r>
        <w:rPr>
          <w:sz w:val="20"/>
          <w:szCs w:val="20"/>
        </w:rPr>
        <w:t>Fina</w:t>
      </w:r>
      <w:r>
        <w:rPr>
          <w:sz w:val="20"/>
          <w:szCs w:val="20"/>
        </w:rPr>
        <w:t>lly, evaluate the experiences you are providing for those whom you serve, in every aspect of the library- collections, shelving, programs, atmosphere, etc.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Are there things you can do to maximize experiences?</w:t>
      </w:r>
      <w:r>
        <w:rPr>
          <w:sz w:val="20"/>
          <w:szCs w:val="20"/>
        </w:rPr>
        <w:br/>
      </w:r>
    </w:p>
    <w:p w14:paraId="00000013" w14:textId="32388C8C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What were the two questions you asked when cu</w:t>
      </w:r>
      <w:r>
        <w:rPr>
          <w:b/>
          <w:sz w:val="20"/>
          <w:szCs w:val="20"/>
        </w:rPr>
        <w:t>stomers were exiting the library?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We asked,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"what was positive about your library experience today?"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"What would have made it better?"</w:t>
      </w:r>
    </w:p>
    <w:p w14:paraId="00000014" w14:textId="77777777" w:rsidR="000D0C7B" w:rsidRDefault="000D0C7B">
      <w:pPr>
        <w:ind w:left="720"/>
        <w:rPr>
          <w:sz w:val="20"/>
          <w:szCs w:val="20"/>
        </w:rPr>
      </w:pPr>
    </w:p>
    <w:p w14:paraId="00000015" w14:textId="77777777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How long did the prep work take before it went to rollout?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We did six months of work speaking with the community and</w:t>
      </w:r>
      <w:r>
        <w:rPr>
          <w:sz w:val="20"/>
          <w:szCs w:val="20"/>
        </w:rPr>
        <w:t xml:space="preserve"> patrons, learning service design methods before spending another month or two designing and printing the "Field Guide" and rolling that to staff -- with lots of communication to staff in between (staff day presentation; internal blog posts; reports at sta</w:t>
      </w:r>
      <w:r>
        <w:rPr>
          <w:sz w:val="20"/>
          <w:szCs w:val="20"/>
        </w:rPr>
        <w:t>ff meetings, etc.)</w:t>
      </w:r>
      <w:r>
        <w:rPr>
          <w:sz w:val="20"/>
          <w:szCs w:val="20"/>
        </w:rPr>
        <w:br/>
      </w:r>
    </w:p>
    <w:p w14:paraId="00000016" w14:textId="77777777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A bibliography of the resources you used would be helpful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rFonts w:ascii="Roboto" w:eastAsia="Roboto" w:hAnsi="Roboto" w:cs="Roboto"/>
          <w:b/>
          <w:sz w:val="20"/>
          <w:szCs w:val="20"/>
        </w:rPr>
        <w:t>Book Recommendations</w:t>
      </w:r>
    </w:p>
    <w:p w14:paraId="00000017" w14:textId="1A930771" w:rsidR="000D0C7B" w:rsidRDefault="0076065A">
      <w:pPr>
        <w:numPr>
          <w:ilvl w:val="0"/>
          <w:numId w:val="2"/>
        </w:numPr>
        <w:ind w:left="1440"/>
        <w:rPr>
          <w:color w:val="2F2F2F"/>
          <w:sz w:val="20"/>
          <w:szCs w:val="20"/>
        </w:rPr>
      </w:pPr>
      <w:hyperlink r:id="rId9">
        <w:r>
          <w:rPr>
            <w:color w:val="1155CC"/>
            <w:sz w:val="20"/>
            <w:szCs w:val="20"/>
            <w:u w:val="single"/>
          </w:rPr>
          <w:t>Orchestrating Experiences: Collaborative Design for Complexity</w:t>
        </w:r>
      </w:hyperlink>
      <w:r>
        <w:rPr>
          <w:color w:val="2F2F2F"/>
          <w:sz w:val="20"/>
          <w:szCs w:val="20"/>
        </w:rPr>
        <w:t xml:space="preserve"> by Patrick </w:t>
      </w:r>
      <w:proofErr w:type="spellStart"/>
      <w:r>
        <w:rPr>
          <w:color w:val="2F2F2F"/>
          <w:sz w:val="20"/>
          <w:szCs w:val="20"/>
        </w:rPr>
        <w:t>Quattlebaum</w:t>
      </w:r>
      <w:proofErr w:type="spellEnd"/>
    </w:p>
    <w:p w14:paraId="00000018" w14:textId="4BFC91BF" w:rsidR="000D0C7B" w:rsidRDefault="0076065A">
      <w:pPr>
        <w:numPr>
          <w:ilvl w:val="0"/>
          <w:numId w:val="2"/>
        </w:numPr>
        <w:ind w:left="1440"/>
        <w:rPr>
          <w:color w:val="2F2F2F"/>
          <w:sz w:val="20"/>
          <w:szCs w:val="20"/>
        </w:rPr>
      </w:pPr>
      <w:hyperlink r:id="rId10">
        <w:r>
          <w:rPr>
            <w:color w:val="1155CC"/>
            <w:sz w:val="20"/>
            <w:szCs w:val="20"/>
            <w:u w:val="single"/>
          </w:rPr>
          <w:t>This is Service Design Thinking: Basics, Tools, Cases</w:t>
        </w:r>
      </w:hyperlink>
      <w:r>
        <w:rPr>
          <w:color w:val="2F2F2F"/>
          <w:sz w:val="20"/>
          <w:szCs w:val="20"/>
        </w:rPr>
        <w:t xml:space="preserve"> by Marc </w:t>
      </w:r>
      <w:proofErr w:type="spellStart"/>
      <w:r>
        <w:rPr>
          <w:color w:val="2F2F2F"/>
          <w:sz w:val="20"/>
          <w:szCs w:val="20"/>
        </w:rPr>
        <w:t>Stickdorn</w:t>
      </w:r>
      <w:proofErr w:type="spellEnd"/>
    </w:p>
    <w:p w14:paraId="00000019" w14:textId="5A7A9F3C" w:rsidR="000D0C7B" w:rsidRDefault="0076065A">
      <w:pPr>
        <w:numPr>
          <w:ilvl w:val="0"/>
          <w:numId w:val="1"/>
        </w:numPr>
        <w:ind w:left="1440"/>
        <w:rPr>
          <w:sz w:val="20"/>
          <w:szCs w:val="20"/>
        </w:rPr>
      </w:pPr>
      <w:hyperlink r:id="rId11">
        <w:r>
          <w:rPr>
            <w:color w:val="1155CC"/>
            <w:sz w:val="20"/>
            <w:szCs w:val="20"/>
            <w:u w:val="single"/>
          </w:rPr>
          <w:t>This Is Service Desi</w:t>
        </w:r>
        <w:r>
          <w:rPr>
            <w:color w:val="1155CC"/>
            <w:sz w:val="20"/>
            <w:szCs w:val="20"/>
            <w:u w:val="single"/>
          </w:rPr>
          <w:t>gn Doing: Applying Service Design Thinking in the Real World</w:t>
        </w:r>
      </w:hyperlink>
      <w:r w:rsidR="006A2F19">
        <w:rPr>
          <w:color w:val="2F2F2F"/>
          <w:sz w:val="20"/>
          <w:szCs w:val="20"/>
        </w:rPr>
        <w:t xml:space="preserve"> </w:t>
      </w:r>
      <w:r>
        <w:rPr>
          <w:color w:val="2F2F2F"/>
          <w:sz w:val="20"/>
          <w:szCs w:val="20"/>
        </w:rPr>
        <w:t xml:space="preserve">by Marc </w:t>
      </w:r>
      <w:proofErr w:type="spellStart"/>
      <w:r>
        <w:rPr>
          <w:color w:val="2F2F2F"/>
          <w:sz w:val="20"/>
          <w:szCs w:val="20"/>
        </w:rPr>
        <w:t>Stickdorn</w:t>
      </w:r>
      <w:proofErr w:type="spellEnd"/>
      <w:r>
        <w:rPr>
          <w:color w:val="2F2F2F"/>
          <w:sz w:val="20"/>
          <w:szCs w:val="20"/>
        </w:rPr>
        <w:t xml:space="preserve">, Markus Edgar </w:t>
      </w:r>
      <w:proofErr w:type="spellStart"/>
      <w:r>
        <w:rPr>
          <w:color w:val="2F2F2F"/>
          <w:sz w:val="20"/>
          <w:szCs w:val="20"/>
        </w:rPr>
        <w:t>Hormess</w:t>
      </w:r>
      <w:proofErr w:type="spellEnd"/>
      <w:r>
        <w:rPr>
          <w:color w:val="2F2F2F"/>
          <w:sz w:val="20"/>
          <w:szCs w:val="20"/>
        </w:rPr>
        <w:t>, Adam Lawrence, Jakob Schneider</w:t>
      </w:r>
      <w:r>
        <w:rPr>
          <w:sz w:val="20"/>
          <w:szCs w:val="20"/>
        </w:rPr>
        <w:br/>
      </w:r>
    </w:p>
    <w:p w14:paraId="5A013556" w14:textId="77777777" w:rsidR="006A2F19" w:rsidRDefault="006A2F19" w:rsidP="006A2F19">
      <w:pPr>
        <w:rPr>
          <w:sz w:val="20"/>
          <w:szCs w:val="20"/>
        </w:rPr>
      </w:pPr>
    </w:p>
    <w:p w14:paraId="0000001A" w14:textId="77777777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Is your library system unionized?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No, we are not unionized</w:t>
      </w:r>
      <w:r>
        <w:rPr>
          <w:sz w:val="20"/>
          <w:szCs w:val="20"/>
        </w:rPr>
        <w:br/>
      </w:r>
    </w:p>
    <w:p w14:paraId="0000001B" w14:textId="0664497F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How do you measure outcomes?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One of the unique aspects of our approach is that we </w:t>
      </w:r>
      <w:r>
        <w:rPr>
          <w:b/>
          <w:sz w:val="20"/>
          <w:szCs w:val="20"/>
          <w:u w:val="single"/>
        </w:rPr>
        <w:t>intentionally</w:t>
      </w:r>
      <w:r>
        <w:rPr>
          <w:sz w:val="20"/>
          <w:szCs w:val="20"/>
        </w:rPr>
        <w:t xml:space="preserve"> did not define measurable goals or outcomes as part of the Roadmap process. The Roadmap process was intended to create a flexible framework that defined outcome areas.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Within that framewor</w:t>
      </w:r>
      <w:r>
        <w:rPr>
          <w:sz w:val="20"/>
          <w:szCs w:val="20"/>
        </w:rPr>
        <w:t>k we are now creating specific goals and projects within the context of specific outcome areas.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We are creating "Location Plans" for each Branch that are grounded in local neighborhood demographics. These plans will take into account staffing capacity and</w:t>
      </w:r>
      <w:r>
        <w:rPr>
          <w:sz w:val="20"/>
          <w:szCs w:val="20"/>
        </w:rPr>
        <w:t xml:space="preserve"> local needs to align programs and collections to local needs within the context of our six strategic areas of focus.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For example, one of our branches may focus much more on early literacy programs and outcomes, while another is focusing much more on civi</w:t>
      </w:r>
      <w:r>
        <w:rPr>
          <w:sz w:val="20"/>
          <w:szCs w:val="20"/>
        </w:rPr>
        <w:t>c engagement programs and outcomes.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As an organization, we do not have a robust history or practice with outcome-based planning and assessment.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 recently had the entire management team complete two day of the </w:t>
      </w:r>
      <w:hyperlink r:id="rId12">
        <w:r>
          <w:rPr>
            <w:color w:val="1155CC"/>
            <w:sz w:val="20"/>
            <w:szCs w:val="20"/>
            <w:u w:val="single"/>
          </w:rPr>
          <w:t>RI</w:t>
        </w:r>
        <w:r>
          <w:rPr>
            <w:color w:val="1155CC"/>
            <w:sz w:val="20"/>
            <w:szCs w:val="20"/>
            <w:u w:val="single"/>
          </w:rPr>
          <w:t>PL Institute</w:t>
        </w:r>
      </w:hyperlink>
      <w:r>
        <w:rPr>
          <w:sz w:val="20"/>
          <w:szCs w:val="20"/>
        </w:rPr>
        <w:t>, to help us improve our skills and practice in this area.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 have also recently created a data coordinator position to help us develop a better practice of measurement and assessment. </w:t>
      </w:r>
      <w:r>
        <w:rPr>
          <w:sz w:val="20"/>
          <w:szCs w:val="20"/>
        </w:rPr>
        <w:br/>
      </w:r>
    </w:p>
    <w:p w14:paraId="5B02620F" w14:textId="77777777" w:rsidR="006A2F19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How was the board involved?</w:t>
      </w:r>
      <w:r>
        <w:rPr>
          <w:sz w:val="20"/>
          <w:szCs w:val="20"/>
        </w:rPr>
        <w:br/>
      </w:r>
    </w:p>
    <w:p w14:paraId="0000001C" w14:textId="0945EF84" w:rsidR="000D0C7B" w:rsidRDefault="0076065A" w:rsidP="006A2F19">
      <w:pPr>
        <w:ind w:left="720"/>
        <w:rPr>
          <w:sz w:val="20"/>
          <w:szCs w:val="20"/>
        </w:rPr>
      </w:pPr>
      <w:r>
        <w:rPr>
          <w:sz w:val="20"/>
          <w:szCs w:val="20"/>
        </w:rPr>
        <w:t>We had one member of the Boa</w:t>
      </w:r>
      <w:r>
        <w:rPr>
          <w:sz w:val="20"/>
          <w:szCs w:val="20"/>
        </w:rPr>
        <w:t>rd participate at a deep level as part of our 30 member "Navigator Team" over six months.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Board members were invited to participate in a number of community conversations, and they were kept in the loop at Board meetings and with interim reporting.</w:t>
      </w:r>
      <w:r>
        <w:rPr>
          <w:sz w:val="20"/>
          <w:szCs w:val="20"/>
        </w:rPr>
        <w:br/>
      </w:r>
    </w:p>
    <w:p w14:paraId="0000001D" w14:textId="77777777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Who w</w:t>
      </w:r>
      <w:r>
        <w:rPr>
          <w:b/>
          <w:sz w:val="20"/>
          <w:szCs w:val="20"/>
        </w:rPr>
        <w:t>as the consulting company?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We had the pleasure of working with Margaret Sullivan of Owner/Principal of Margaret Sullivan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Studios and Patrick </w:t>
      </w:r>
      <w:proofErr w:type="spellStart"/>
      <w:r>
        <w:rPr>
          <w:sz w:val="20"/>
          <w:szCs w:val="20"/>
        </w:rPr>
        <w:t>Quattlebaum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br/>
      </w:r>
    </w:p>
    <w:p w14:paraId="0000001E" w14:textId="0578C1C1" w:rsidR="000D0C7B" w:rsidRDefault="0076065A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Not all libraries cultures are at this place of being open to such fundamental change.</w:t>
      </w:r>
      <w:r w:rsidR="006A2F1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How can this</w:t>
      </w:r>
      <w:r>
        <w:rPr>
          <w:b/>
          <w:sz w:val="20"/>
          <w:szCs w:val="20"/>
        </w:rPr>
        <w:t xml:space="preserve"> change?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Culture change, and creating a culture that is open to change is large and complex topic.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While there are many books, articles, etc. that try to address this issue, I highly recommend these two resources:</w:t>
      </w:r>
    </w:p>
    <w:p w14:paraId="0000001F" w14:textId="14C54610" w:rsidR="000D0C7B" w:rsidRDefault="0076065A">
      <w:pPr>
        <w:numPr>
          <w:ilvl w:val="2"/>
          <w:numId w:val="1"/>
        </w:numPr>
        <w:rPr>
          <w:sz w:val="20"/>
          <w:szCs w:val="20"/>
        </w:rPr>
      </w:pPr>
      <w:hyperlink r:id="rId13">
        <w:r>
          <w:rPr>
            <w:color w:val="1155CC"/>
            <w:sz w:val="20"/>
            <w:szCs w:val="20"/>
            <w:u w:val="single"/>
          </w:rPr>
          <w:t>Clear Leadership</w:t>
        </w:r>
      </w:hyperlink>
      <w:r>
        <w:rPr>
          <w:sz w:val="20"/>
          <w:szCs w:val="20"/>
        </w:rPr>
        <w:t xml:space="preserve"> by Gervase </w:t>
      </w:r>
      <w:proofErr w:type="spellStart"/>
      <w:r>
        <w:rPr>
          <w:sz w:val="20"/>
          <w:szCs w:val="20"/>
        </w:rPr>
        <w:t>Bushe</w:t>
      </w:r>
      <w:proofErr w:type="spellEnd"/>
      <w:r>
        <w:rPr>
          <w:sz w:val="20"/>
          <w:szCs w:val="20"/>
        </w:rPr>
        <w:t>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See also this article: </w:t>
      </w:r>
      <w:hyperlink r:id="rId14">
        <w:r>
          <w:rPr>
            <w:color w:val="1155CC"/>
            <w:sz w:val="20"/>
            <w:szCs w:val="20"/>
            <w:u w:val="single"/>
          </w:rPr>
          <w:t>Changing Organizational Culture Through Clear Leadership</w:t>
        </w:r>
      </w:hyperlink>
      <w:r>
        <w:rPr>
          <w:sz w:val="20"/>
          <w:szCs w:val="20"/>
        </w:rPr>
        <w:br/>
      </w:r>
    </w:p>
    <w:p w14:paraId="00000020" w14:textId="4ED58622" w:rsidR="000D0C7B" w:rsidRDefault="0076065A">
      <w:pPr>
        <w:numPr>
          <w:ilvl w:val="2"/>
          <w:numId w:val="1"/>
        </w:numPr>
        <w:rPr>
          <w:sz w:val="20"/>
          <w:szCs w:val="20"/>
        </w:rPr>
      </w:pPr>
      <w:hyperlink r:id="rId15">
        <w:r w:rsidR="006A2F19">
          <w:rPr>
            <w:color w:val="1155CC"/>
            <w:sz w:val="20"/>
            <w:szCs w:val="20"/>
            <w:u w:val="single"/>
          </w:rPr>
          <w:t>Co-Creating Culture: Step Up to Accountability</w:t>
        </w:r>
      </w:hyperlink>
      <w:r w:rsidR="006A2F19" w:rsidRPr="006A2F19">
        <w:rPr>
          <w:color w:val="1155CC"/>
          <w:sz w:val="20"/>
          <w:szCs w:val="20"/>
        </w:rPr>
        <w:t xml:space="preserve"> </w:t>
      </w:r>
      <w:r>
        <w:rPr>
          <w:sz w:val="20"/>
          <w:szCs w:val="20"/>
        </w:rPr>
        <w:t xml:space="preserve">(Merrick Rosenberg </w:t>
      </w:r>
      <w:proofErr w:type="spellStart"/>
      <w:r>
        <w:rPr>
          <w:sz w:val="20"/>
          <w:szCs w:val="20"/>
        </w:rPr>
        <w:t>TedX</w:t>
      </w:r>
      <w:proofErr w:type="spellEnd"/>
      <w:r>
        <w:rPr>
          <w:sz w:val="20"/>
          <w:szCs w:val="20"/>
        </w:rPr>
        <w:t xml:space="preserve"> Talk)</w:t>
      </w:r>
      <w:r>
        <w:rPr>
          <w:sz w:val="20"/>
          <w:szCs w:val="20"/>
        </w:rPr>
        <w:br/>
      </w:r>
    </w:p>
    <w:p w14:paraId="00000022" w14:textId="0A4B63F2" w:rsidR="000D0C7B" w:rsidRPr="006A2F19" w:rsidRDefault="0076065A" w:rsidP="006A2F19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 Was the Board 100% on board?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Yes, I told the Board literally from day one that I wanted to take a different approach and NOT do a strategic plan.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I explained the rationale, the vision, etc.</w:t>
      </w:r>
      <w:r w:rsidR="006A2F19">
        <w:rPr>
          <w:sz w:val="20"/>
          <w:szCs w:val="20"/>
        </w:rPr>
        <w:t xml:space="preserve"> </w:t>
      </w:r>
      <w:r>
        <w:rPr>
          <w:sz w:val="20"/>
          <w:szCs w:val="20"/>
        </w:rPr>
        <w:t>No objections.</w:t>
      </w:r>
      <w:r>
        <w:rPr>
          <w:sz w:val="20"/>
          <w:szCs w:val="20"/>
        </w:rPr>
        <w:br/>
      </w:r>
    </w:p>
    <w:sectPr w:rsidR="000D0C7B" w:rsidRPr="006A2F1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AA9E" w14:textId="77777777" w:rsidR="0076065A" w:rsidRDefault="0076065A">
      <w:pPr>
        <w:spacing w:line="240" w:lineRule="auto"/>
      </w:pPr>
      <w:r>
        <w:separator/>
      </w:r>
    </w:p>
  </w:endnote>
  <w:endnote w:type="continuationSeparator" w:id="0">
    <w:p w14:paraId="5DC05EF9" w14:textId="77777777" w:rsidR="0076065A" w:rsidRDefault="00760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0D0C7B" w:rsidRDefault="0076065A">
    <w:pPr>
      <w:jc w:val="center"/>
      <w:rPr>
        <w:sz w:val="20"/>
        <w:szCs w:val="20"/>
      </w:rPr>
    </w:pPr>
    <w:r>
      <w:rPr>
        <w:sz w:val="20"/>
        <w:szCs w:val="20"/>
      </w:rPr>
      <w:br/>
      <w:t xml:space="preserve">Presenters: | Peter Bromberg </w:t>
    </w:r>
    <w:hyperlink r:id="rId1">
      <w:r>
        <w:rPr>
          <w:color w:val="1155CC"/>
          <w:sz w:val="20"/>
          <w:szCs w:val="20"/>
          <w:u w:val="single"/>
        </w:rPr>
        <w:t>pbromberg@slcpl.org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 xml:space="preserve">| Marilee Moon </w:t>
    </w:r>
    <w:hyperlink r:id="rId2">
      <w:r>
        <w:rPr>
          <w:color w:val="1155CC"/>
          <w:sz w:val="20"/>
          <w:szCs w:val="20"/>
          <w:u w:val="single"/>
        </w:rPr>
        <w:t>mmoon@slcpl.org</w:t>
      </w:r>
    </w:hyperlink>
    <w:r>
      <w:rPr>
        <w:sz w:val="20"/>
        <w:szCs w:val="20"/>
      </w:rPr>
      <w:t xml:space="preserve"> |</w:t>
    </w:r>
  </w:p>
  <w:p w14:paraId="00000026" w14:textId="0EDEDD1C" w:rsidR="000D0C7B" w:rsidRDefault="0076065A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A2F19">
      <w:rPr>
        <w:sz w:val="20"/>
        <w:szCs w:val="20"/>
      </w:rPr>
      <w:fldChar w:fldCharType="separate"/>
    </w:r>
    <w:r w:rsidR="006A2F1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0C11" w14:textId="77777777" w:rsidR="0076065A" w:rsidRDefault="0076065A">
      <w:pPr>
        <w:spacing w:line="240" w:lineRule="auto"/>
      </w:pPr>
      <w:r>
        <w:separator/>
      </w:r>
    </w:p>
  </w:footnote>
  <w:footnote w:type="continuationSeparator" w:id="0">
    <w:p w14:paraId="200E3928" w14:textId="77777777" w:rsidR="0076065A" w:rsidRDefault="00760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16658F1D" w:rsidR="000D0C7B" w:rsidRDefault="0076065A">
    <w:pPr>
      <w:jc w:val="center"/>
      <w:rPr>
        <w:sz w:val="20"/>
        <w:szCs w:val="20"/>
      </w:rPr>
    </w:pPr>
    <w:r>
      <w:rPr>
        <w:sz w:val="20"/>
        <w:szCs w:val="20"/>
      </w:rPr>
      <w:t>Unanswered Questions from Chat Log - Web</w:t>
    </w:r>
    <w:r w:rsidR="006A2F19">
      <w:rPr>
        <w:sz w:val="20"/>
        <w:szCs w:val="20"/>
      </w:rPr>
      <w:t>J</w:t>
    </w:r>
    <w:r>
      <w:rPr>
        <w:sz w:val="20"/>
        <w:szCs w:val="20"/>
      </w:rPr>
      <w:t>unction Webinar 3-26-19</w:t>
    </w:r>
    <w:r>
      <w:rPr>
        <w:sz w:val="20"/>
        <w:szCs w:val="20"/>
      </w:rPr>
      <w:br/>
      <w:t>Strategic Planning in a Deeply Weird World: The Flexible Roadmap Field Guide Approach</w:t>
    </w:r>
  </w:p>
  <w:p w14:paraId="00000024" w14:textId="77777777" w:rsidR="000D0C7B" w:rsidRDefault="000D0C7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B90"/>
    <w:multiLevelType w:val="multilevel"/>
    <w:tmpl w:val="DE642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61BA3"/>
    <w:multiLevelType w:val="multilevel"/>
    <w:tmpl w:val="08C0F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B"/>
    <w:rsid w:val="000D0C7B"/>
    <w:rsid w:val="006A2F19"/>
    <w:rsid w:val="0076065A"/>
    <w:rsid w:val="00D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DBB9"/>
  <w15:docId w15:val="{BB3D6E3C-AB83-428B-8682-352763A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2F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19"/>
  </w:style>
  <w:style w:type="paragraph" w:styleId="Footer">
    <w:name w:val="footer"/>
    <w:basedOn w:val="Normal"/>
    <w:link w:val="FooterChar"/>
    <w:uiPriority w:val="99"/>
    <w:unhideWhenUsed/>
    <w:rsid w:val="006A2F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19"/>
  </w:style>
  <w:style w:type="paragraph" w:styleId="ListParagraph">
    <w:name w:val="List Paragraph"/>
    <w:basedOn w:val="Normal"/>
    <w:uiPriority w:val="34"/>
    <w:qFormat/>
    <w:rsid w:val="006A2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slcpl.org/event/1678898" TargetMode="External"/><Relationship Id="rId13" Type="http://schemas.openxmlformats.org/officeDocument/2006/relationships/hyperlink" Target="http://www.worldcat.org/oclc/7680880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junction.org/events/webjunction/strategic-planning-in-a-deeply-weird-world.html" TargetMode="External"/><Relationship Id="rId12" Type="http://schemas.openxmlformats.org/officeDocument/2006/relationships/hyperlink" Target="https://ripl.lr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cat.org/oclc/10271881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nKL1IzQdJU" TargetMode="External"/><Relationship Id="rId10" Type="http://schemas.openxmlformats.org/officeDocument/2006/relationships/hyperlink" Target="http://www.worldcat.org/oclc/10764801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rldcat.org/oclc/1035807445" TargetMode="External"/><Relationship Id="rId14" Type="http://schemas.openxmlformats.org/officeDocument/2006/relationships/hyperlink" Target="http://www.klartledarskap.se/download/18.8add65e142b3b9638116bc/1386241489454/Changing+Organizational+Culture+Through+Clear+Leadership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oon@slcpl.org" TargetMode="External"/><Relationship Id="rId1" Type="http://schemas.openxmlformats.org/officeDocument/2006/relationships/hyperlink" Target="mailto:pbromberg@slcp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Peterson,Jennifer</dc:creator>
  <cp:lastModifiedBy>Peterson,Jennifer</cp:lastModifiedBy>
  <cp:revision>3</cp:revision>
  <dcterms:created xsi:type="dcterms:W3CDTF">2019-04-03T20:54:00Z</dcterms:created>
  <dcterms:modified xsi:type="dcterms:W3CDTF">2019-04-03T20:55:00Z</dcterms:modified>
</cp:coreProperties>
</file>