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02F9C" w14:textId="15BAC3A5" w:rsidR="00E20818" w:rsidRPr="00777241" w:rsidRDefault="00F35C16" w:rsidP="00560CCE">
      <w:pPr>
        <w:spacing w:line="240" w:lineRule="auto"/>
        <w:contextualSpacing/>
        <w:rPr>
          <w:rFonts w:asciiTheme="majorHAnsi" w:eastAsiaTheme="majorEastAsia" w:hAnsiTheme="majorHAnsi" w:cstheme="majorBidi"/>
          <w:b/>
          <w:bCs/>
          <w:color w:val="365F91" w:themeColor="accent1" w:themeShade="BF"/>
          <w:sz w:val="28"/>
          <w:szCs w:val="28"/>
        </w:rPr>
      </w:pPr>
      <w:r w:rsidRPr="00F35C16">
        <w:rPr>
          <w:rFonts w:asciiTheme="majorHAnsi" w:eastAsiaTheme="majorEastAsia" w:hAnsiTheme="majorHAnsi" w:cstheme="majorBidi"/>
          <w:b/>
          <w:bCs/>
          <w:color w:val="365F91" w:themeColor="accent1" w:themeShade="BF"/>
          <w:sz w:val="28"/>
          <w:szCs w:val="28"/>
        </w:rPr>
        <w:t>Beyond Food for Fines: Libraries, Food Banks and Feeding America</w:t>
      </w:r>
      <w:r>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Learner</w:t>
      </w:r>
      <w:r w:rsidR="001105DD">
        <w:rPr>
          <w:rFonts w:asciiTheme="majorHAnsi" w:eastAsiaTheme="majorEastAsia" w:hAnsiTheme="majorHAnsi" w:cstheme="majorBidi"/>
          <w:b/>
          <w:bCs/>
          <w:color w:val="365F91" w:themeColor="accent1" w:themeShade="BF"/>
          <w:sz w:val="28"/>
          <w:szCs w:val="28"/>
        </w:rPr>
        <w:t xml:space="preserve"> </w:t>
      </w:r>
      <w:r w:rsidR="00D45D0D">
        <w:rPr>
          <w:rFonts w:asciiTheme="majorHAnsi" w:eastAsiaTheme="majorEastAsia" w:hAnsiTheme="majorHAnsi" w:cstheme="majorBidi"/>
          <w:b/>
          <w:bCs/>
          <w:color w:val="365F91" w:themeColor="accent1" w:themeShade="BF"/>
          <w:sz w:val="28"/>
          <w:szCs w:val="28"/>
        </w:rPr>
        <w:t>Guide</w:t>
      </w:r>
    </w:p>
    <w:p w14:paraId="3B0084DC" w14:textId="3B9716CE" w:rsidR="00777241" w:rsidRDefault="00D65A7E" w:rsidP="00560CCE">
      <w:pPr>
        <w:spacing w:line="240" w:lineRule="auto"/>
        <w:contextualSpacing/>
      </w:pPr>
      <w:hyperlink r:id="rId5" w:history="1">
        <w:r w:rsidR="0049280C" w:rsidRPr="007456CB">
          <w:rPr>
            <w:rStyle w:val="Hyperlink"/>
          </w:rPr>
          <w:t>http://www.webjunction.org/events/webjunction/beyond-food-for-fines.html</w:t>
        </w:r>
      </w:hyperlink>
    </w:p>
    <w:p w14:paraId="0DA0B8B4" w14:textId="77777777" w:rsidR="0049280C" w:rsidRPr="00E20818" w:rsidRDefault="0049280C" w:rsidP="00560CCE">
      <w:pPr>
        <w:spacing w:line="240" w:lineRule="auto"/>
        <w:contextualSpacing/>
        <w:rPr>
          <w:rFonts w:eastAsiaTheme="majorEastAsia" w:cstheme="majorBidi"/>
          <w:bCs/>
          <w:color w:val="365F91" w:themeColor="accent1" w:themeShade="BF"/>
        </w:rPr>
      </w:pPr>
    </w:p>
    <w:p w14:paraId="46213ED1" w14:textId="23AE4AE8" w:rsidR="0049280C" w:rsidRPr="00236F7E" w:rsidRDefault="008C4BAD" w:rsidP="0049280C">
      <w:pPr>
        <w:shd w:val="clear" w:color="auto" w:fill="FFFFFF"/>
        <w:spacing w:after="270" w:line="315" w:lineRule="atLeast"/>
        <w:textAlignment w:val="baseline"/>
        <w:rPr>
          <w:rFonts w:eastAsia="Times New Roman" w:cs="Helvetica"/>
          <w:color w:val="000000"/>
        </w:rPr>
      </w:pPr>
      <w:r w:rsidRPr="00236F7E">
        <w:rPr>
          <w:rFonts w:eastAsia="Times New Roman" w:cs="Helvetica"/>
          <w:b/>
          <w:color w:val="000000"/>
        </w:rPr>
        <w:t xml:space="preserve">Event </w:t>
      </w:r>
      <w:r w:rsidR="00981923" w:rsidRPr="00236F7E">
        <w:rPr>
          <w:rFonts w:eastAsia="Times New Roman" w:cs="Helvetica"/>
          <w:b/>
          <w:color w:val="000000"/>
        </w:rPr>
        <w:t>Description</w:t>
      </w:r>
      <w:r w:rsidRPr="00236F7E">
        <w:rPr>
          <w:rFonts w:eastAsia="Times New Roman" w:cs="Helvetica"/>
          <w:color w:val="000000"/>
        </w:rPr>
        <w:t xml:space="preserve">: </w:t>
      </w:r>
      <w:r w:rsidR="00236F7E" w:rsidRPr="00236F7E">
        <w:rPr>
          <w:rFonts w:eastAsia="Times New Roman" w:cs="Helvetica"/>
          <w:color w:val="000000"/>
        </w:rPr>
        <w:t>I</w:t>
      </w:r>
      <w:r w:rsidR="0049280C" w:rsidRPr="00236F7E">
        <w:rPr>
          <w:rFonts w:eastAsia="Times New Roman" w:cs="Helvetica"/>
          <w:color w:val="000000"/>
        </w:rPr>
        <w:t>n the United States, 1 in every 8 people face hunger. Food insecurity affects 42 million people and impacts every county in America, and libraries are increasingly involved in helping to fight hunger in their communities. Join us to hear how Feeding America, the nation’s largest domestic hunger-relief network, a food bank, and a public library, are all helping to fight hunger. Learn how to assess food security and needs in your area and how to grow community awareness and understanding about hunger through programming or resources. Providing meals can become a key component of library programming, even serving as an incentive for families and children to attend. Explore a range of opportunities to address community hunger needs year-round, and learn how to reach out and engage with local food banks to connect patrons to food.</w:t>
      </w:r>
    </w:p>
    <w:p w14:paraId="1227EDF0" w14:textId="0473C10E" w:rsidR="00560CCE" w:rsidRPr="00236F7E" w:rsidRDefault="0049280C" w:rsidP="0049280C">
      <w:pPr>
        <w:shd w:val="clear" w:color="auto" w:fill="FFFFFF"/>
        <w:spacing w:after="270" w:line="315" w:lineRule="atLeast"/>
        <w:textAlignment w:val="baseline"/>
      </w:pPr>
      <w:r w:rsidRPr="00236F7E">
        <w:rPr>
          <w:rFonts w:eastAsia="Times New Roman" w:cs="Helvetica"/>
          <w:b/>
          <w:color w:val="000000"/>
        </w:rPr>
        <w:t>Presented by:</w:t>
      </w:r>
      <w:r w:rsidRPr="00236F7E">
        <w:rPr>
          <w:rFonts w:eastAsia="Times New Roman" w:cs="Helvetica"/>
          <w:color w:val="000000"/>
        </w:rPr>
        <w:t xml:space="preserve"> Christina Martinez, Kaia Keefe-</w:t>
      </w:r>
      <w:proofErr w:type="gramStart"/>
      <w:r w:rsidRPr="00236F7E">
        <w:rPr>
          <w:rFonts w:eastAsia="Times New Roman" w:cs="Helvetica"/>
          <w:color w:val="000000"/>
        </w:rPr>
        <w:t>Oates</w:t>
      </w:r>
      <w:proofErr w:type="gramEnd"/>
      <w:r w:rsidRPr="00236F7E">
        <w:rPr>
          <w:rFonts w:eastAsia="Times New Roman" w:cs="Helvetica"/>
          <w:color w:val="000000"/>
        </w:rPr>
        <w:t xml:space="preserve"> and Elizabeth Lynch</w:t>
      </w:r>
    </w:p>
    <w:tbl>
      <w:tblPr>
        <w:tblStyle w:val="TableGrid"/>
        <w:tblW w:w="9355" w:type="dxa"/>
        <w:tblLook w:val="04A0" w:firstRow="1" w:lastRow="0" w:firstColumn="1" w:lastColumn="0" w:noHBand="0" w:noVBand="1"/>
      </w:tblPr>
      <w:tblGrid>
        <w:gridCol w:w="1533"/>
        <w:gridCol w:w="7822"/>
      </w:tblGrid>
      <w:tr w:rsidR="00560CCE" w14:paraId="44481815" w14:textId="77777777" w:rsidTr="00D65A7E">
        <w:trPr>
          <w:trHeight w:val="504"/>
        </w:trPr>
        <w:tc>
          <w:tcPr>
            <w:tcW w:w="9355" w:type="dxa"/>
            <w:gridSpan w:val="2"/>
            <w:shd w:val="clear" w:color="auto" w:fill="31849B" w:themeFill="accent5" w:themeFillShade="BF"/>
            <w:vAlign w:val="center"/>
          </w:tcPr>
          <w:p w14:paraId="20DFC9A9" w14:textId="77777777" w:rsidR="00560CCE" w:rsidRPr="00BD7B5B" w:rsidRDefault="00560CCE" w:rsidP="005A0B4F">
            <w:pPr>
              <w:rPr>
                <w:b/>
                <w:color w:val="FFFFFF" w:themeColor="background1"/>
              </w:rPr>
            </w:pPr>
            <w:r w:rsidRPr="00BD7B5B">
              <w:rPr>
                <w:b/>
                <w:color w:val="FFFFFF" w:themeColor="background1"/>
              </w:rPr>
              <w:t xml:space="preserve">What are your goals for viewing this </w:t>
            </w:r>
            <w:proofErr w:type="gramStart"/>
            <w:r w:rsidRPr="00BD7B5B">
              <w:rPr>
                <w:b/>
                <w:color w:val="FFFFFF" w:themeColor="background1"/>
              </w:rPr>
              <w:t>webinar</w:t>
            </w:r>
            <w:proofErr w:type="gramEnd"/>
            <w:r w:rsidRPr="00BD7B5B">
              <w:rPr>
                <w:b/>
                <w:color w:val="FFFFFF" w:themeColor="background1"/>
              </w:rPr>
              <w:t>?</w:t>
            </w:r>
          </w:p>
        </w:tc>
      </w:tr>
      <w:tr w:rsidR="00560CCE" w14:paraId="4B3FC002" w14:textId="77777777" w:rsidTr="00D65A7E">
        <w:trPr>
          <w:trHeight w:val="648"/>
        </w:trPr>
        <w:tc>
          <w:tcPr>
            <w:tcW w:w="1533" w:type="dxa"/>
            <w:shd w:val="clear" w:color="auto" w:fill="92CDDC" w:themeFill="accent5" w:themeFillTint="99"/>
            <w:vAlign w:val="center"/>
          </w:tcPr>
          <w:p w14:paraId="1CD0C69B" w14:textId="77777777" w:rsidR="00560CCE" w:rsidRDefault="00560CCE" w:rsidP="005A0B4F">
            <w:r w:rsidRPr="00BD7B5B">
              <w:rPr>
                <w:b/>
              </w:rPr>
              <w:t>Personal Goals</w:t>
            </w:r>
          </w:p>
        </w:tc>
        <w:tc>
          <w:tcPr>
            <w:tcW w:w="7822" w:type="dxa"/>
            <w:vAlign w:val="center"/>
          </w:tcPr>
          <w:p w14:paraId="105FEE25" w14:textId="77777777" w:rsidR="00560CCE" w:rsidRDefault="00560CCE" w:rsidP="005A0B4F"/>
        </w:tc>
      </w:tr>
      <w:tr w:rsidR="00560CCE" w14:paraId="1D92BA34" w14:textId="77777777" w:rsidTr="00D65A7E">
        <w:trPr>
          <w:trHeight w:val="648"/>
        </w:trPr>
        <w:tc>
          <w:tcPr>
            <w:tcW w:w="1533" w:type="dxa"/>
            <w:shd w:val="clear" w:color="auto" w:fill="92CDDC" w:themeFill="accent5" w:themeFillTint="99"/>
            <w:vAlign w:val="center"/>
          </w:tcPr>
          <w:p w14:paraId="67B5D9E7" w14:textId="77777777" w:rsidR="00560CCE" w:rsidRDefault="00560CCE" w:rsidP="005A0B4F">
            <w:r>
              <w:rPr>
                <w:b/>
              </w:rPr>
              <w:t xml:space="preserve">Team </w:t>
            </w:r>
            <w:r w:rsidRPr="00BD7B5B">
              <w:rPr>
                <w:b/>
              </w:rPr>
              <w:t>Goals</w:t>
            </w:r>
          </w:p>
        </w:tc>
        <w:tc>
          <w:tcPr>
            <w:tcW w:w="7822" w:type="dxa"/>
            <w:vAlign w:val="center"/>
          </w:tcPr>
          <w:p w14:paraId="46755034" w14:textId="77777777" w:rsidR="00560CCE" w:rsidRDefault="00560CCE" w:rsidP="005A0B4F"/>
        </w:tc>
      </w:tr>
      <w:tr w:rsidR="00560CCE" w:rsidRPr="001B40A2" w14:paraId="3220BA0E" w14:textId="77777777" w:rsidTr="00236F7E">
        <w:trPr>
          <w:trHeight w:val="638"/>
        </w:trPr>
        <w:tc>
          <w:tcPr>
            <w:tcW w:w="9355" w:type="dxa"/>
            <w:gridSpan w:val="2"/>
            <w:shd w:val="clear" w:color="auto" w:fill="31849B" w:themeFill="accent5" w:themeFillShade="BF"/>
            <w:vAlign w:val="center"/>
          </w:tcPr>
          <w:p w14:paraId="4E0BB4B7" w14:textId="0C47E41B" w:rsidR="00560CCE" w:rsidRPr="002A462D" w:rsidRDefault="00D958B6" w:rsidP="0019503A">
            <w:pPr>
              <w:rPr>
                <w:b/>
                <w:color w:val="FFFFFF" w:themeColor="background1"/>
              </w:rPr>
            </w:pPr>
            <w:r>
              <w:rPr>
                <w:b/>
                <w:color w:val="FFFFFF" w:themeColor="background1"/>
              </w:rPr>
              <w:t>Assessing Food Security Needs</w:t>
            </w:r>
          </w:p>
        </w:tc>
      </w:tr>
      <w:tr w:rsidR="00560CCE" w:rsidRPr="001B40A2" w14:paraId="4392BE79" w14:textId="77777777" w:rsidTr="00236F7E">
        <w:trPr>
          <w:trHeight w:val="638"/>
        </w:trPr>
        <w:tc>
          <w:tcPr>
            <w:tcW w:w="9355" w:type="dxa"/>
            <w:gridSpan w:val="2"/>
            <w:shd w:val="clear" w:color="auto" w:fill="auto"/>
            <w:vAlign w:val="center"/>
          </w:tcPr>
          <w:p w14:paraId="33E58010" w14:textId="77777777" w:rsidR="00D958B6" w:rsidRDefault="00D958B6" w:rsidP="00D958B6">
            <w:pPr>
              <w:spacing w:after="160" w:line="252" w:lineRule="auto"/>
              <w:contextualSpacing/>
              <w:rPr>
                <w:rFonts w:cs="Times New Roman"/>
              </w:rPr>
            </w:pPr>
          </w:p>
          <w:p w14:paraId="777604B2" w14:textId="707219D8" w:rsidR="000B0B48" w:rsidRDefault="000B0B48" w:rsidP="0083289D">
            <w:pPr>
              <w:spacing w:after="160" w:line="252" w:lineRule="auto"/>
              <w:contextualSpacing/>
              <w:rPr>
                <w:rFonts w:cs="Times New Roman"/>
              </w:rPr>
            </w:pPr>
            <w:r>
              <w:rPr>
                <w:rFonts w:eastAsia="Times New Roman"/>
              </w:rPr>
              <w:t xml:space="preserve">Visit </w:t>
            </w:r>
            <w:hyperlink r:id="rId6" w:history="1">
              <w:r>
                <w:rPr>
                  <w:rStyle w:val="Hyperlink"/>
                  <w:rFonts w:eastAsia="Times New Roman"/>
                </w:rPr>
                <w:t>Feeding America’s Map the Meal Gap</w:t>
              </w:r>
            </w:hyperlink>
            <w:r>
              <w:rPr>
                <w:rFonts w:eastAsia="Times New Roman"/>
              </w:rPr>
              <w:t xml:space="preserve"> resource to learn more about adult and family food insecurity in your area. </w:t>
            </w:r>
          </w:p>
          <w:p w14:paraId="41168080" w14:textId="77777777" w:rsidR="000B0B48" w:rsidRDefault="000B0B48" w:rsidP="0083289D">
            <w:pPr>
              <w:spacing w:after="160" w:line="252" w:lineRule="auto"/>
              <w:contextualSpacing/>
              <w:rPr>
                <w:rFonts w:cs="Times New Roman"/>
              </w:rPr>
            </w:pPr>
          </w:p>
          <w:p w14:paraId="7BB0ACEA" w14:textId="5DD818CE" w:rsidR="009A1D84" w:rsidRDefault="009A1D84" w:rsidP="005A0B4F">
            <w:pPr>
              <w:rPr>
                <w:noProof/>
              </w:rPr>
            </w:pPr>
          </w:p>
          <w:p w14:paraId="463C735F" w14:textId="77777777" w:rsidR="00236F7E" w:rsidRDefault="00236F7E" w:rsidP="005A0B4F">
            <w:pPr>
              <w:rPr>
                <w:noProof/>
              </w:rPr>
            </w:pPr>
          </w:p>
          <w:p w14:paraId="0237CB45" w14:textId="77777777" w:rsidR="0083289D" w:rsidRPr="000B0B48" w:rsidRDefault="0083289D" w:rsidP="005A0B4F">
            <w:pPr>
              <w:rPr>
                <w:noProof/>
              </w:rPr>
            </w:pPr>
          </w:p>
          <w:p w14:paraId="1177EF74" w14:textId="1597B5D2" w:rsidR="00560CCE" w:rsidRDefault="000B0B48" w:rsidP="005A0B4F">
            <w:r>
              <w:t>Look up the</w:t>
            </w:r>
            <w:r w:rsidRPr="000B0B48">
              <w:t xml:space="preserve"> number of students on free and reduced lunch at your local school districts</w:t>
            </w:r>
            <w:r>
              <w:t xml:space="preserve"> using the </w:t>
            </w:r>
            <w:hyperlink r:id="rId7" w:history="1">
              <w:r w:rsidRPr="000B0B48">
                <w:rPr>
                  <w:rStyle w:val="Hyperlink"/>
                </w:rPr>
                <w:t>Kids Count Data Center</w:t>
              </w:r>
            </w:hyperlink>
            <w:r>
              <w:t xml:space="preserve"> (Annie E. Casey Foundation).</w:t>
            </w:r>
          </w:p>
          <w:p w14:paraId="78270184" w14:textId="0B72290E" w:rsidR="000B0B48" w:rsidRDefault="000B0B48" w:rsidP="005A0B4F"/>
          <w:p w14:paraId="359DBA8E" w14:textId="7F0AA376" w:rsidR="000B0B48" w:rsidRDefault="000B0B48" w:rsidP="005A0B4F"/>
          <w:p w14:paraId="562DE9D1" w14:textId="3A6FCBD2" w:rsidR="000B0B48" w:rsidRDefault="000B0B48" w:rsidP="005A0B4F"/>
          <w:p w14:paraId="6DEB0968" w14:textId="77777777" w:rsidR="000B0B48" w:rsidRDefault="000B0B48" w:rsidP="005A0B4F"/>
          <w:p w14:paraId="5C49FBA5" w14:textId="1D47DBE2" w:rsidR="000B0B48" w:rsidRDefault="000B0B48" w:rsidP="005A0B4F"/>
          <w:p w14:paraId="5756B547" w14:textId="77777777" w:rsidR="000B0B48" w:rsidRPr="0083289D" w:rsidRDefault="000B0B48" w:rsidP="000B0B48">
            <w:pPr>
              <w:spacing w:after="160" w:line="252" w:lineRule="auto"/>
              <w:contextualSpacing/>
              <w:rPr>
                <w:rFonts w:cs="Times New Roman"/>
              </w:rPr>
            </w:pPr>
            <w:r>
              <w:rPr>
                <w:rFonts w:cs="Times New Roman"/>
              </w:rPr>
              <w:t xml:space="preserve">Determine if your library is in a USDA classified food desert by using the </w:t>
            </w:r>
            <w:hyperlink r:id="rId8" w:history="1">
              <w:r w:rsidRPr="00FA4DBD">
                <w:rPr>
                  <w:rStyle w:val="Hyperlink"/>
                  <w:rFonts w:cs="Times New Roman"/>
                </w:rPr>
                <w:t>Food Access Research Atlas</w:t>
              </w:r>
            </w:hyperlink>
            <w:r>
              <w:rPr>
                <w:rFonts w:cs="Times New Roman"/>
              </w:rPr>
              <w:t xml:space="preserve"> and think about how that might inform the services your community has or needs.</w:t>
            </w:r>
          </w:p>
          <w:p w14:paraId="68CB3900" w14:textId="77777777" w:rsidR="000B0B48" w:rsidRDefault="000B0B48" w:rsidP="005A0B4F"/>
          <w:p w14:paraId="07A9FA22" w14:textId="1EEDA805" w:rsidR="000B0B48" w:rsidRDefault="000B0B48" w:rsidP="005A0B4F"/>
          <w:p w14:paraId="1E538E1A" w14:textId="067F3D76" w:rsidR="000B0B48" w:rsidRDefault="000B0B48" w:rsidP="005A0B4F"/>
          <w:p w14:paraId="5A658C51" w14:textId="04C4DEF7" w:rsidR="000B0B48" w:rsidRDefault="000B0B48" w:rsidP="005A0B4F"/>
          <w:p w14:paraId="3C527D03" w14:textId="6CD4DDFA" w:rsidR="0083289D" w:rsidRPr="002A462D" w:rsidRDefault="0083289D" w:rsidP="005A0B4F">
            <w:pPr>
              <w:rPr>
                <w:b/>
                <w:color w:val="FFFFFF" w:themeColor="background1"/>
              </w:rPr>
            </w:pPr>
          </w:p>
        </w:tc>
      </w:tr>
      <w:tr w:rsidR="00CE50BA" w:rsidRPr="001B40A2" w14:paraId="32434247" w14:textId="77777777" w:rsidTr="00236F7E">
        <w:trPr>
          <w:trHeight w:val="638"/>
        </w:trPr>
        <w:tc>
          <w:tcPr>
            <w:tcW w:w="9355" w:type="dxa"/>
            <w:gridSpan w:val="2"/>
            <w:shd w:val="clear" w:color="auto" w:fill="31849B" w:themeFill="accent5" w:themeFillShade="BF"/>
            <w:vAlign w:val="center"/>
          </w:tcPr>
          <w:p w14:paraId="6FA1EE63" w14:textId="595BF520" w:rsidR="00CE50BA" w:rsidRDefault="00FA4DBD" w:rsidP="00777241">
            <w:pPr>
              <w:rPr>
                <w:b/>
                <w:color w:val="FFFFFF" w:themeColor="background1"/>
              </w:rPr>
            </w:pPr>
            <w:r>
              <w:rPr>
                <w:b/>
                <w:color w:val="FFFFFF" w:themeColor="background1"/>
              </w:rPr>
              <w:lastRenderedPageBreak/>
              <w:t>Find Your Local Food Bank</w:t>
            </w:r>
          </w:p>
        </w:tc>
      </w:tr>
      <w:tr w:rsidR="00CE50BA" w:rsidRPr="001B40A2" w14:paraId="7D79281B" w14:textId="77777777" w:rsidTr="00236F7E">
        <w:trPr>
          <w:trHeight w:val="638"/>
        </w:trPr>
        <w:tc>
          <w:tcPr>
            <w:tcW w:w="9355" w:type="dxa"/>
            <w:gridSpan w:val="2"/>
            <w:shd w:val="clear" w:color="auto" w:fill="auto"/>
            <w:vAlign w:val="center"/>
          </w:tcPr>
          <w:p w14:paraId="0903B2CF" w14:textId="77777777" w:rsidR="00FA4DBD" w:rsidRDefault="00FA4DBD" w:rsidP="00EF17C8">
            <w:pPr>
              <w:rPr>
                <w:rFonts w:eastAsia="Times New Roman" w:cs="Times New Roman"/>
                <w:color w:val="000000"/>
              </w:rPr>
            </w:pPr>
          </w:p>
          <w:p w14:paraId="3D7A39DF" w14:textId="4C73940E" w:rsidR="009A1D84" w:rsidRDefault="00EF17C8" w:rsidP="00EF17C8">
            <w:pPr>
              <w:rPr>
                <w:rFonts w:eastAsia="Times New Roman" w:cs="Times New Roman"/>
                <w:color w:val="000000"/>
              </w:rPr>
            </w:pPr>
            <w:r w:rsidRPr="00EF17C8">
              <w:rPr>
                <w:rFonts w:eastAsia="Times New Roman" w:cs="Times New Roman"/>
                <w:color w:val="000000"/>
              </w:rPr>
              <w:t xml:space="preserve">Reach out to your local food bank to discuss potential partnerships and learn about food insecurity in your area. </w:t>
            </w:r>
            <w:hyperlink r:id="rId9" w:history="1">
              <w:r w:rsidRPr="00FA4DBD">
                <w:rPr>
                  <w:rStyle w:val="Hyperlink"/>
                  <w:rFonts w:eastAsia="Times New Roman" w:cs="Times New Roman"/>
                </w:rPr>
                <w:t>Find Your Local Food Bank</w:t>
              </w:r>
            </w:hyperlink>
            <w:r w:rsidRPr="00EF17C8">
              <w:rPr>
                <w:rFonts w:eastAsia="Times New Roman" w:cs="Times New Roman"/>
                <w:color w:val="000000"/>
              </w:rPr>
              <w:t xml:space="preserve"> on Feeding America</w:t>
            </w:r>
            <w:r w:rsidR="00FA4DBD">
              <w:rPr>
                <w:rFonts w:eastAsia="Times New Roman" w:cs="Times New Roman"/>
                <w:color w:val="000000"/>
              </w:rPr>
              <w:t>.</w:t>
            </w:r>
          </w:p>
          <w:p w14:paraId="12E76EE8" w14:textId="539676E6" w:rsidR="00FA4DBD" w:rsidRDefault="00FA4DBD" w:rsidP="00EF17C8">
            <w:pPr>
              <w:rPr>
                <w:rFonts w:eastAsia="Times New Roman" w:cs="Times New Roman"/>
                <w:color w:val="000000"/>
              </w:rPr>
            </w:pPr>
          </w:p>
          <w:p w14:paraId="4E5C2D5F" w14:textId="462F1EB0" w:rsidR="00FA4DBD" w:rsidRDefault="00FA4DBD" w:rsidP="00EF17C8">
            <w:pPr>
              <w:rPr>
                <w:rFonts w:eastAsia="Times New Roman" w:cs="Times New Roman"/>
                <w:color w:val="000000"/>
              </w:rPr>
            </w:pPr>
          </w:p>
          <w:p w14:paraId="18B91C2F" w14:textId="317DC56C" w:rsidR="0083289D" w:rsidRDefault="0083289D" w:rsidP="00EF17C8">
            <w:pPr>
              <w:rPr>
                <w:rFonts w:eastAsia="Times New Roman" w:cs="Times New Roman"/>
                <w:color w:val="000000"/>
              </w:rPr>
            </w:pPr>
          </w:p>
          <w:p w14:paraId="410B9249" w14:textId="3D54C21F" w:rsidR="0083289D" w:rsidRDefault="0083289D" w:rsidP="00EF17C8">
            <w:pPr>
              <w:rPr>
                <w:rFonts w:eastAsia="Times New Roman" w:cs="Times New Roman"/>
                <w:color w:val="000000"/>
              </w:rPr>
            </w:pPr>
          </w:p>
          <w:p w14:paraId="1F212921" w14:textId="77777777" w:rsidR="00FA4DBD" w:rsidRPr="00CF5EA9" w:rsidRDefault="00FA4DBD" w:rsidP="00EF17C8">
            <w:pPr>
              <w:rPr>
                <w:noProof/>
              </w:rPr>
            </w:pPr>
          </w:p>
          <w:p w14:paraId="6A529709" w14:textId="77777777" w:rsidR="00FA406A" w:rsidRPr="002A462D" w:rsidRDefault="00FA406A" w:rsidP="00D45D0D">
            <w:pPr>
              <w:rPr>
                <w:b/>
                <w:color w:val="FFFFFF" w:themeColor="background1"/>
              </w:rPr>
            </w:pPr>
          </w:p>
        </w:tc>
      </w:tr>
      <w:tr w:rsidR="00D65A7E" w:rsidRPr="001B40A2" w14:paraId="160E6A5B" w14:textId="77777777" w:rsidTr="000A7BC9">
        <w:trPr>
          <w:trHeight w:val="638"/>
        </w:trPr>
        <w:tc>
          <w:tcPr>
            <w:tcW w:w="9355" w:type="dxa"/>
            <w:gridSpan w:val="2"/>
            <w:shd w:val="clear" w:color="auto" w:fill="31849B" w:themeFill="accent5" w:themeFillShade="BF"/>
            <w:vAlign w:val="center"/>
          </w:tcPr>
          <w:p w14:paraId="47F82774" w14:textId="34B16DD0" w:rsidR="00D65A7E" w:rsidRDefault="00D65A7E" w:rsidP="000A7BC9">
            <w:pPr>
              <w:rPr>
                <w:b/>
                <w:color w:val="FFFFFF" w:themeColor="background1"/>
              </w:rPr>
            </w:pPr>
            <w:r>
              <w:rPr>
                <w:b/>
                <w:color w:val="FFFFFF" w:themeColor="background1"/>
              </w:rPr>
              <w:t>Create a Quick Guide for Patrons</w:t>
            </w:r>
          </w:p>
        </w:tc>
      </w:tr>
      <w:tr w:rsidR="00D65A7E" w:rsidRPr="001B40A2" w14:paraId="4B53C33E" w14:textId="77777777" w:rsidTr="00236F7E">
        <w:trPr>
          <w:trHeight w:val="638"/>
        </w:trPr>
        <w:tc>
          <w:tcPr>
            <w:tcW w:w="9355" w:type="dxa"/>
            <w:gridSpan w:val="2"/>
            <w:shd w:val="clear" w:color="auto" w:fill="auto"/>
            <w:vAlign w:val="center"/>
          </w:tcPr>
          <w:p w14:paraId="0291D1F4" w14:textId="77777777" w:rsidR="00D65A7E" w:rsidRDefault="00D65A7E" w:rsidP="00D65A7E">
            <w:pPr>
              <w:rPr>
                <w:rFonts w:eastAsia="Times New Roman" w:cs="Times New Roman"/>
                <w:color w:val="000000"/>
              </w:rPr>
            </w:pPr>
          </w:p>
          <w:p w14:paraId="6EE04B00" w14:textId="71718032" w:rsidR="00D65A7E" w:rsidRDefault="00D65A7E" w:rsidP="00D65A7E">
            <w:pPr>
              <w:rPr>
                <w:rFonts w:cs="Times New Roman"/>
              </w:rPr>
            </w:pPr>
            <w:r>
              <w:rPr>
                <w:rFonts w:eastAsia="Times New Roman" w:cs="Times New Roman"/>
                <w:color w:val="000000"/>
              </w:rPr>
              <w:t xml:space="preserve">A great first step is to ask your </w:t>
            </w:r>
            <w:r w:rsidRPr="000B0B48">
              <w:rPr>
                <w:rFonts w:eastAsia="Times New Roman" w:cs="Times New Roman"/>
                <w:color w:val="000000"/>
              </w:rPr>
              <w:t xml:space="preserve">local food bank </w:t>
            </w:r>
            <w:r>
              <w:rPr>
                <w:rFonts w:eastAsia="Times New Roman" w:cs="Times New Roman"/>
                <w:color w:val="000000"/>
              </w:rPr>
              <w:t>to</w:t>
            </w:r>
            <w:r w:rsidRPr="000B0B48">
              <w:rPr>
                <w:rFonts w:eastAsia="Times New Roman" w:cs="Times New Roman"/>
                <w:color w:val="000000"/>
              </w:rPr>
              <w:t xml:space="preserve"> provide a list of </w:t>
            </w:r>
            <w:r>
              <w:rPr>
                <w:rFonts w:eastAsia="Times New Roman" w:cs="Times New Roman"/>
                <w:color w:val="000000"/>
              </w:rPr>
              <w:t xml:space="preserve">sites for your patrons to access food resources.  </w:t>
            </w:r>
            <w:r>
              <w:rPr>
                <w:rFonts w:eastAsia="Times New Roman" w:cs="Times New Roman"/>
                <w:color w:val="000000"/>
              </w:rPr>
              <w:t xml:space="preserve">Or they can provide you with information so you can create a quick guide </w:t>
            </w:r>
            <w:r w:rsidRPr="000B0B48">
              <w:rPr>
                <w:rFonts w:eastAsia="Times New Roman" w:cs="Times New Roman"/>
                <w:color w:val="000000"/>
              </w:rPr>
              <w:t>with the names, addresses, hours, and resour</w:t>
            </w:r>
            <w:r>
              <w:rPr>
                <w:rFonts w:eastAsia="Times New Roman" w:cs="Times New Roman"/>
                <w:color w:val="000000"/>
              </w:rPr>
              <w:t>ces provided at program sites and local pantries. Not</w:t>
            </w:r>
            <w:r>
              <w:rPr>
                <w:rFonts w:eastAsia="Times New Roman" w:cs="Times New Roman"/>
                <w:color w:val="000000"/>
              </w:rPr>
              <w:t>e</w:t>
            </w:r>
            <w:r>
              <w:rPr>
                <w:rFonts w:eastAsia="Times New Roman" w:cs="Times New Roman"/>
                <w:color w:val="000000"/>
              </w:rPr>
              <w:t xml:space="preserve"> other specific</w:t>
            </w:r>
            <w:r w:rsidRPr="000B0B48">
              <w:rPr>
                <w:rFonts w:cs="Times New Roman"/>
              </w:rPr>
              <w:t xml:space="preserve"> requirements</w:t>
            </w:r>
            <w:r>
              <w:rPr>
                <w:rFonts w:cs="Times New Roman"/>
              </w:rPr>
              <w:t>,</w:t>
            </w:r>
            <w:r w:rsidRPr="000B0B48">
              <w:rPr>
                <w:rFonts w:cs="Times New Roman"/>
              </w:rPr>
              <w:t xml:space="preserve"> like</w:t>
            </w:r>
            <w:r>
              <w:rPr>
                <w:rFonts w:cs="Times New Roman"/>
              </w:rPr>
              <w:t xml:space="preserve"> if an</w:t>
            </w:r>
            <w:r w:rsidRPr="000B0B48">
              <w:rPr>
                <w:rFonts w:cs="Times New Roman"/>
              </w:rPr>
              <w:t xml:space="preserve"> ID </w:t>
            </w:r>
            <w:r>
              <w:rPr>
                <w:rFonts w:cs="Times New Roman"/>
              </w:rPr>
              <w:t xml:space="preserve">required </w:t>
            </w:r>
            <w:r w:rsidRPr="000B0B48">
              <w:rPr>
                <w:rFonts w:cs="Times New Roman"/>
              </w:rPr>
              <w:t>or</w:t>
            </w:r>
            <w:r>
              <w:rPr>
                <w:rFonts w:cs="Times New Roman"/>
              </w:rPr>
              <w:t xml:space="preserve"> if there are</w:t>
            </w:r>
            <w:r w:rsidRPr="000B0B48">
              <w:rPr>
                <w:rFonts w:cs="Times New Roman"/>
              </w:rPr>
              <w:t xml:space="preserve"> limit</w:t>
            </w:r>
            <w:r>
              <w:rPr>
                <w:rFonts w:cs="Times New Roman"/>
              </w:rPr>
              <w:t>s to number of</w:t>
            </w:r>
            <w:r w:rsidRPr="000B0B48">
              <w:rPr>
                <w:rFonts w:cs="Times New Roman"/>
              </w:rPr>
              <w:t xml:space="preserve"> visit per month. </w:t>
            </w:r>
          </w:p>
          <w:p w14:paraId="347836E6" w14:textId="02DEDDF1" w:rsidR="00D65A7E" w:rsidRDefault="00D65A7E" w:rsidP="00D65A7E">
            <w:pPr>
              <w:rPr>
                <w:rFonts w:cs="Times New Roman"/>
              </w:rPr>
            </w:pPr>
          </w:p>
          <w:p w14:paraId="3AF5057F" w14:textId="64E0B3A7" w:rsidR="00D65A7E" w:rsidRDefault="00D65A7E" w:rsidP="00D65A7E">
            <w:pPr>
              <w:rPr>
                <w:rFonts w:cs="Times New Roman"/>
              </w:rPr>
            </w:pPr>
          </w:p>
          <w:p w14:paraId="1B58E855" w14:textId="2A4FEF88" w:rsidR="00D65A7E" w:rsidRDefault="00D65A7E" w:rsidP="00D65A7E">
            <w:pPr>
              <w:rPr>
                <w:rFonts w:cs="Times New Roman"/>
              </w:rPr>
            </w:pPr>
          </w:p>
          <w:p w14:paraId="57A50780" w14:textId="711DA432" w:rsidR="00D65A7E" w:rsidRDefault="00D65A7E" w:rsidP="00D65A7E">
            <w:pPr>
              <w:rPr>
                <w:rFonts w:cs="Times New Roman"/>
              </w:rPr>
            </w:pPr>
          </w:p>
          <w:p w14:paraId="1931052F" w14:textId="08A088A9" w:rsidR="00D65A7E" w:rsidRDefault="00D65A7E" w:rsidP="00D65A7E">
            <w:pPr>
              <w:rPr>
                <w:rFonts w:cs="Times New Roman"/>
              </w:rPr>
            </w:pPr>
          </w:p>
          <w:p w14:paraId="11A771CC" w14:textId="77777777" w:rsidR="00D65A7E" w:rsidRDefault="00D65A7E" w:rsidP="00D65A7E">
            <w:pPr>
              <w:rPr>
                <w:rFonts w:cs="Times New Roman"/>
              </w:rPr>
            </w:pPr>
          </w:p>
          <w:p w14:paraId="7291D8BD" w14:textId="77777777" w:rsidR="00D65A7E" w:rsidRDefault="00D65A7E" w:rsidP="00D65A7E">
            <w:pPr>
              <w:rPr>
                <w:rFonts w:eastAsia="Times New Roman" w:cs="Times New Roman"/>
                <w:color w:val="000000"/>
              </w:rPr>
            </w:pPr>
          </w:p>
          <w:p w14:paraId="482194BC" w14:textId="77777777" w:rsidR="00D65A7E" w:rsidRDefault="00D65A7E" w:rsidP="00EF17C8">
            <w:pPr>
              <w:rPr>
                <w:rFonts w:eastAsia="Times New Roman" w:cs="Times New Roman"/>
                <w:color w:val="000000"/>
              </w:rPr>
            </w:pPr>
          </w:p>
        </w:tc>
      </w:tr>
      <w:tr w:rsidR="007658AC" w14:paraId="45A0D4FE" w14:textId="77777777" w:rsidTr="00236F7E">
        <w:trPr>
          <w:trHeight w:val="638"/>
        </w:trPr>
        <w:tc>
          <w:tcPr>
            <w:tcW w:w="9355" w:type="dxa"/>
            <w:gridSpan w:val="2"/>
            <w:shd w:val="clear" w:color="auto" w:fill="31849B" w:themeFill="accent5" w:themeFillShade="BF"/>
            <w:vAlign w:val="center"/>
          </w:tcPr>
          <w:p w14:paraId="2C048CF8" w14:textId="56CEB531" w:rsidR="007658AC" w:rsidRDefault="00FA4DBD" w:rsidP="00981592">
            <w:pPr>
              <w:rPr>
                <w:b/>
                <w:color w:val="FFFFFF" w:themeColor="background1"/>
              </w:rPr>
            </w:pPr>
            <w:r>
              <w:rPr>
                <w:b/>
                <w:color w:val="FFFFFF" w:themeColor="background1"/>
              </w:rPr>
              <w:t>Other Potential Partners</w:t>
            </w:r>
          </w:p>
        </w:tc>
      </w:tr>
      <w:tr w:rsidR="007658AC" w:rsidRPr="002A462D" w14:paraId="24CCAE3D" w14:textId="77777777" w:rsidTr="00236F7E">
        <w:trPr>
          <w:trHeight w:val="638"/>
        </w:trPr>
        <w:tc>
          <w:tcPr>
            <w:tcW w:w="9355" w:type="dxa"/>
            <w:gridSpan w:val="2"/>
            <w:shd w:val="clear" w:color="auto" w:fill="auto"/>
            <w:vAlign w:val="center"/>
          </w:tcPr>
          <w:p w14:paraId="6041840B" w14:textId="77777777" w:rsidR="00FA4DBD" w:rsidRDefault="00FA4DBD" w:rsidP="00FA4DBD">
            <w:pPr>
              <w:spacing w:after="160" w:line="252" w:lineRule="auto"/>
              <w:contextualSpacing/>
              <w:rPr>
                <w:rFonts w:cs="Times New Roman"/>
              </w:rPr>
            </w:pPr>
          </w:p>
          <w:p w14:paraId="56C8AC32" w14:textId="17127CF3" w:rsidR="00FA4DBD" w:rsidRDefault="00FA4DBD" w:rsidP="00FA4DBD">
            <w:pPr>
              <w:spacing w:after="160" w:line="252" w:lineRule="auto"/>
              <w:contextualSpacing/>
              <w:rPr>
                <w:rFonts w:cs="Times New Roman"/>
              </w:rPr>
            </w:pPr>
            <w:r>
              <w:rPr>
                <w:rFonts w:cs="Times New Roman"/>
              </w:rPr>
              <w:t>Reach out to food pantries, soup kitchens</w:t>
            </w:r>
            <w:r w:rsidR="00D958B6">
              <w:rPr>
                <w:rFonts w:cs="Times New Roman"/>
              </w:rPr>
              <w:t>, meals on wheels,</w:t>
            </w:r>
            <w:r>
              <w:rPr>
                <w:rFonts w:cs="Times New Roman"/>
              </w:rPr>
              <w:t xml:space="preserve"> or </w:t>
            </w:r>
            <w:r>
              <w:t xml:space="preserve">local faith-based organizations </w:t>
            </w:r>
            <w:r>
              <w:rPr>
                <w:rFonts w:cs="Times New Roman"/>
              </w:rPr>
              <w:t xml:space="preserve">in your area to learn about if there is a potential for partnership, and learn how and if their clients </w:t>
            </w:r>
            <w:r w:rsidR="00D958B6">
              <w:rPr>
                <w:rFonts w:cs="Times New Roman"/>
              </w:rPr>
              <w:t xml:space="preserve">can benefit from your </w:t>
            </w:r>
            <w:r>
              <w:rPr>
                <w:rFonts w:cs="Times New Roman"/>
              </w:rPr>
              <w:t>library services.</w:t>
            </w:r>
          </w:p>
          <w:p w14:paraId="7898E9A9" w14:textId="2F405EB3" w:rsidR="000B0B48" w:rsidRDefault="000B0B48" w:rsidP="00FA4DBD">
            <w:pPr>
              <w:spacing w:after="160" w:line="252" w:lineRule="auto"/>
              <w:contextualSpacing/>
              <w:rPr>
                <w:rFonts w:cs="Times New Roman"/>
              </w:rPr>
            </w:pPr>
          </w:p>
          <w:p w14:paraId="171B4B0E" w14:textId="77777777" w:rsidR="000B0B48" w:rsidRDefault="000B0B48" w:rsidP="00FA4DBD">
            <w:pPr>
              <w:spacing w:after="160" w:line="252" w:lineRule="auto"/>
              <w:contextualSpacing/>
              <w:rPr>
                <w:rFonts w:cs="Times New Roman"/>
              </w:rPr>
            </w:pPr>
          </w:p>
          <w:p w14:paraId="34F0F597" w14:textId="51454A37" w:rsidR="00E0266E" w:rsidRDefault="000B0B48" w:rsidP="00FA4DBD">
            <w:pPr>
              <w:spacing w:after="160" w:line="252" w:lineRule="auto"/>
              <w:contextualSpacing/>
              <w:rPr>
                <w:rFonts w:cs="Times New Roman"/>
              </w:rPr>
            </w:pPr>
            <w:r>
              <w:rPr>
                <w:rFonts w:cs="Times New Roman"/>
              </w:rPr>
              <w:t>Talk to your s</w:t>
            </w:r>
            <w:r w:rsidR="00E0266E" w:rsidRPr="00E0266E">
              <w:rPr>
                <w:rFonts w:cs="Times New Roman"/>
              </w:rPr>
              <w:t>chool district</w:t>
            </w:r>
            <w:r>
              <w:rPr>
                <w:rFonts w:cs="Times New Roman"/>
              </w:rPr>
              <w:t>.</w:t>
            </w:r>
            <w:r w:rsidR="00E0266E" w:rsidRPr="00E0266E">
              <w:rPr>
                <w:rFonts w:cs="Times New Roman"/>
              </w:rPr>
              <w:t xml:space="preserve"> Some have pop-up pantries that would be an excellent place for a partnership. They may also be interested in working together on a backpack program</w:t>
            </w:r>
            <w:r w:rsidR="00D65A7E">
              <w:rPr>
                <w:rFonts w:cs="Times New Roman"/>
              </w:rPr>
              <w:t>, or an after-school snack program</w:t>
            </w:r>
            <w:r>
              <w:rPr>
                <w:rFonts w:cs="Times New Roman"/>
              </w:rPr>
              <w:t>.</w:t>
            </w:r>
          </w:p>
          <w:p w14:paraId="50400059" w14:textId="7615585F" w:rsidR="00FA406A" w:rsidRDefault="00FA406A" w:rsidP="00981592">
            <w:pPr>
              <w:rPr>
                <w:b/>
                <w:color w:val="FFFFFF" w:themeColor="background1"/>
              </w:rPr>
            </w:pPr>
          </w:p>
          <w:p w14:paraId="0C54F874" w14:textId="537DD5DD" w:rsidR="000B0B48" w:rsidRDefault="000B0B48" w:rsidP="00981592">
            <w:pPr>
              <w:rPr>
                <w:b/>
                <w:color w:val="FFFFFF" w:themeColor="background1"/>
              </w:rPr>
            </w:pPr>
          </w:p>
          <w:p w14:paraId="78BF03FD" w14:textId="5EC5BA92" w:rsidR="00FA406A" w:rsidRDefault="00FA406A" w:rsidP="00981592">
            <w:pPr>
              <w:rPr>
                <w:b/>
                <w:color w:val="FFFFFF" w:themeColor="background1"/>
              </w:rPr>
            </w:pPr>
          </w:p>
          <w:p w14:paraId="104304A1" w14:textId="77777777" w:rsidR="0093740B" w:rsidRDefault="0093740B" w:rsidP="0093740B">
            <w:pPr>
              <w:spacing w:after="160" w:line="252" w:lineRule="auto"/>
              <w:contextualSpacing/>
              <w:rPr>
                <w:rFonts w:cs="Times New Roman"/>
              </w:rPr>
            </w:pPr>
            <w:r>
              <w:rPr>
                <w:rFonts w:cs="Times New Roman"/>
              </w:rPr>
              <w:t>Meet with other social service agencies to see if they can do outreach at your library. These are often no cost options that benefit both agencies!</w:t>
            </w:r>
          </w:p>
          <w:p w14:paraId="56324AA4" w14:textId="77777777" w:rsidR="00FA406A" w:rsidRDefault="00FA406A" w:rsidP="00981592">
            <w:pPr>
              <w:rPr>
                <w:b/>
                <w:color w:val="FFFFFF" w:themeColor="background1"/>
              </w:rPr>
            </w:pPr>
          </w:p>
          <w:p w14:paraId="6F105817" w14:textId="6A3CEEA8" w:rsidR="00236F7E" w:rsidRDefault="00236F7E" w:rsidP="00981592">
            <w:pPr>
              <w:rPr>
                <w:b/>
                <w:color w:val="FFFFFF" w:themeColor="background1"/>
              </w:rPr>
            </w:pPr>
          </w:p>
          <w:p w14:paraId="4AAD061C" w14:textId="77777777" w:rsidR="00236F7E" w:rsidRDefault="00236F7E" w:rsidP="00981592">
            <w:pPr>
              <w:rPr>
                <w:b/>
                <w:color w:val="FFFFFF" w:themeColor="background1"/>
              </w:rPr>
            </w:pPr>
          </w:p>
          <w:p w14:paraId="5464D332" w14:textId="77777777" w:rsidR="00236F7E" w:rsidRDefault="00236F7E" w:rsidP="00981592">
            <w:pPr>
              <w:rPr>
                <w:b/>
                <w:color w:val="FFFFFF" w:themeColor="background1"/>
              </w:rPr>
            </w:pPr>
          </w:p>
          <w:p w14:paraId="47D08009" w14:textId="6AD04E9D" w:rsidR="00236F7E" w:rsidRPr="002A462D" w:rsidRDefault="00236F7E" w:rsidP="00981592">
            <w:pPr>
              <w:rPr>
                <w:b/>
                <w:color w:val="FFFFFF" w:themeColor="background1"/>
              </w:rPr>
            </w:pPr>
          </w:p>
        </w:tc>
      </w:tr>
      <w:tr w:rsidR="00560CCE" w:rsidRPr="001B40A2" w14:paraId="08CBF6F8" w14:textId="77777777" w:rsidTr="00236F7E">
        <w:trPr>
          <w:trHeight w:val="638"/>
        </w:trPr>
        <w:tc>
          <w:tcPr>
            <w:tcW w:w="9355" w:type="dxa"/>
            <w:gridSpan w:val="2"/>
            <w:shd w:val="clear" w:color="auto" w:fill="31849B" w:themeFill="accent5" w:themeFillShade="BF"/>
            <w:vAlign w:val="center"/>
          </w:tcPr>
          <w:p w14:paraId="5B453340" w14:textId="251D2CC4" w:rsidR="00560CCE" w:rsidRPr="001B40A2" w:rsidRDefault="0083289D" w:rsidP="006466E1">
            <w:pPr>
              <w:rPr>
                <w:b/>
                <w:color w:val="FFFFFF" w:themeColor="background1"/>
              </w:rPr>
            </w:pPr>
            <w:r>
              <w:rPr>
                <w:b/>
                <w:color w:val="FFFFFF" w:themeColor="background1"/>
              </w:rPr>
              <w:lastRenderedPageBreak/>
              <w:t>Talking about Hunger</w:t>
            </w:r>
          </w:p>
        </w:tc>
      </w:tr>
      <w:tr w:rsidR="00560CCE" w:rsidRPr="001B40A2" w14:paraId="2B32BBEC" w14:textId="77777777" w:rsidTr="00236F7E">
        <w:trPr>
          <w:trHeight w:val="1070"/>
        </w:trPr>
        <w:tc>
          <w:tcPr>
            <w:tcW w:w="9355" w:type="dxa"/>
            <w:gridSpan w:val="2"/>
            <w:tcBorders>
              <w:bottom w:val="single" w:sz="4" w:space="0" w:color="auto"/>
            </w:tcBorders>
          </w:tcPr>
          <w:p w14:paraId="59473194" w14:textId="6B4B1652" w:rsidR="00FA406A" w:rsidRDefault="00FA406A" w:rsidP="00FA406A">
            <w:pPr>
              <w:rPr>
                <w:noProof/>
              </w:rPr>
            </w:pPr>
          </w:p>
          <w:p w14:paraId="3AA42DB1" w14:textId="7E84702E" w:rsidR="0083289D" w:rsidRDefault="0083289D" w:rsidP="0083289D">
            <w:pPr>
              <w:rPr>
                <w:noProof/>
              </w:rPr>
            </w:pPr>
            <w:r>
              <w:rPr>
                <w:noProof/>
              </w:rPr>
              <w:t xml:space="preserve">Use Feeding America’s </w:t>
            </w:r>
            <w:hyperlink r:id="rId10" w:tooltip="Ctrl+Click or tap to follow the link" w:history="1">
              <w:r>
                <w:rPr>
                  <w:rStyle w:val="Hyperlink"/>
                </w:rPr>
                <w:t>Hungry to Help Family Action Plan</w:t>
              </w:r>
            </w:hyperlink>
            <w:r>
              <w:rPr>
                <w:noProof/>
              </w:rPr>
              <w:t xml:space="preserve"> to help get families in your community involved in the fight to end hunger. Share the action plan with famillies at a program about food security needs in your region. </w:t>
            </w:r>
          </w:p>
          <w:p w14:paraId="39D0887A" w14:textId="10107C3A" w:rsidR="0083289D" w:rsidRDefault="0083289D" w:rsidP="0083289D">
            <w:pPr>
              <w:rPr>
                <w:noProof/>
              </w:rPr>
            </w:pPr>
          </w:p>
          <w:p w14:paraId="637A709F" w14:textId="3B07103D" w:rsidR="0083289D" w:rsidRDefault="0083289D" w:rsidP="0083289D">
            <w:pPr>
              <w:rPr>
                <w:noProof/>
              </w:rPr>
            </w:pPr>
          </w:p>
          <w:p w14:paraId="1906BD4B" w14:textId="3298A483" w:rsidR="00236F7E" w:rsidRDefault="00236F7E" w:rsidP="0083289D">
            <w:pPr>
              <w:rPr>
                <w:noProof/>
              </w:rPr>
            </w:pPr>
          </w:p>
          <w:p w14:paraId="24EC0D42" w14:textId="0EC56463" w:rsidR="00236F7E" w:rsidRDefault="00236F7E" w:rsidP="0083289D">
            <w:pPr>
              <w:rPr>
                <w:noProof/>
              </w:rPr>
            </w:pPr>
          </w:p>
          <w:p w14:paraId="45A8E169" w14:textId="77777777" w:rsidR="00236F7E" w:rsidRDefault="00236F7E" w:rsidP="0083289D">
            <w:pPr>
              <w:rPr>
                <w:noProof/>
              </w:rPr>
            </w:pPr>
          </w:p>
          <w:p w14:paraId="36D406D0" w14:textId="58B23BB4" w:rsidR="00CF5EA9" w:rsidRDefault="00CF5EA9" w:rsidP="00FA406A">
            <w:pPr>
              <w:rPr>
                <w:noProof/>
              </w:rPr>
            </w:pPr>
          </w:p>
          <w:p w14:paraId="1103F080" w14:textId="77777777" w:rsidR="00CF5EA9" w:rsidRDefault="00CF5EA9" w:rsidP="00FA406A">
            <w:pPr>
              <w:rPr>
                <w:noProof/>
              </w:rPr>
            </w:pPr>
          </w:p>
          <w:p w14:paraId="054C374E" w14:textId="77777777" w:rsidR="00CF5EA9" w:rsidRDefault="00CF5EA9" w:rsidP="00FA406A">
            <w:pPr>
              <w:rPr>
                <w:noProof/>
              </w:rPr>
            </w:pPr>
          </w:p>
          <w:p w14:paraId="58CF7E72" w14:textId="5F2E10ED" w:rsidR="00CF5EA9" w:rsidRPr="006636EC" w:rsidRDefault="00CF5EA9" w:rsidP="00FA406A">
            <w:pPr>
              <w:rPr>
                <w:noProof/>
              </w:rPr>
            </w:pPr>
          </w:p>
        </w:tc>
      </w:tr>
      <w:tr w:rsidR="000D302A" w:rsidRPr="001B40A2" w14:paraId="0061A046" w14:textId="77777777" w:rsidTr="00236F7E">
        <w:trPr>
          <w:trHeight w:val="638"/>
        </w:trPr>
        <w:tc>
          <w:tcPr>
            <w:tcW w:w="9355" w:type="dxa"/>
            <w:gridSpan w:val="2"/>
            <w:shd w:val="clear" w:color="auto" w:fill="31849B" w:themeFill="accent5" w:themeFillShade="BF"/>
            <w:vAlign w:val="center"/>
          </w:tcPr>
          <w:p w14:paraId="030F6350" w14:textId="2BBC4F60" w:rsidR="000D302A" w:rsidRDefault="0093740B" w:rsidP="00C34336">
            <w:pPr>
              <w:rPr>
                <w:b/>
                <w:color w:val="FFFFFF" w:themeColor="background1"/>
              </w:rPr>
            </w:pPr>
            <w:r>
              <w:rPr>
                <w:b/>
                <w:color w:val="FFFFFF" w:themeColor="background1"/>
              </w:rPr>
              <w:t>Volunteers</w:t>
            </w:r>
          </w:p>
        </w:tc>
      </w:tr>
      <w:tr w:rsidR="00C34336" w:rsidRPr="00B16A14" w14:paraId="7BE39834" w14:textId="77777777" w:rsidTr="00236F7E">
        <w:trPr>
          <w:trHeight w:val="1070"/>
        </w:trPr>
        <w:tc>
          <w:tcPr>
            <w:tcW w:w="9355" w:type="dxa"/>
            <w:gridSpan w:val="2"/>
          </w:tcPr>
          <w:p w14:paraId="29C0401B" w14:textId="77777777" w:rsidR="00FA4DBD" w:rsidRDefault="00FA4DBD" w:rsidP="00FA4DBD">
            <w:pPr>
              <w:spacing w:after="160" w:line="252" w:lineRule="auto"/>
              <w:contextualSpacing/>
              <w:rPr>
                <w:rFonts w:cs="Times New Roman"/>
              </w:rPr>
            </w:pPr>
          </w:p>
          <w:p w14:paraId="762E9782" w14:textId="41C8EC96" w:rsidR="00935EC6" w:rsidRDefault="0093740B" w:rsidP="004151DA">
            <w:pPr>
              <w:rPr>
                <w:noProof/>
              </w:rPr>
            </w:pPr>
            <w:r>
              <w:rPr>
                <w:noProof/>
              </w:rPr>
              <w:t xml:space="preserve">Consider food programming opportunities to engage your existing volunteers or identify potential new volunteers. </w:t>
            </w:r>
          </w:p>
          <w:p w14:paraId="02B50077" w14:textId="77777777" w:rsidR="00C34336" w:rsidRDefault="00C34336" w:rsidP="004151DA">
            <w:pPr>
              <w:rPr>
                <w:b/>
                <w:noProof/>
              </w:rPr>
            </w:pPr>
          </w:p>
          <w:p w14:paraId="3CD76D16" w14:textId="7ADC62DD" w:rsidR="0083289D" w:rsidRDefault="0083289D" w:rsidP="004151DA">
            <w:pPr>
              <w:rPr>
                <w:b/>
                <w:noProof/>
              </w:rPr>
            </w:pPr>
          </w:p>
          <w:p w14:paraId="73C9C3CC" w14:textId="1E6971B5" w:rsidR="00236F7E" w:rsidRDefault="00236F7E" w:rsidP="004151DA">
            <w:pPr>
              <w:rPr>
                <w:b/>
                <w:noProof/>
              </w:rPr>
            </w:pPr>
          </w:p>
          <w:p w14:paraId="4E3BE553" w14:textId="6AD9804F" w:rsidR="00236F7E" w:rsidRDefault="00236F7E" w:rsidP="004151DA">
            <w:pPr>
              <w:rPr>
                <w:b/>
                <w:noProof/>
              </w:rPr>
            </w:pPr>
          </w:p>
          <w:p w14:paraId="351C4AC4" w14:textId="30E2985D" w:rsidR="00236F7E" w:rsidRDefault="00236F7E" w:rsidP="004151DA">
            <w:pPr>
              <w:rPr>
                <w:b/>
                <w:noProof/>
              </w:rPr>
            </w:pPr>
          </w:p>
          <w:p w14:paraId="7FFBF376" w14:textId="77777777" w:rsidR="00236F7E" w:rsidRDefault="00236F7E" w:rsidP="004151DA">
            <w:pPr>
              <w:rPr>
                <w:b/>
                <w:noProof/>
              </w:rPr>
            </w:pPr>
          </w:p>
          <w:p w14:paraId="59ABBE88" w14:textId="2CB95F25" w:rsidR="00236F7E" w:rsidRDefault="00236F7E" w:rsidP="004151DA">
            <w:pPr>
              <w:rPr>
                <w:b/>
                <w:noProof/>
              </w:rPr>
            </w:pPr>
          </w:p>
          <w:p w14:paraId="5E83CBF5" w14:textId="77777777" w:rsidR="00236F7E" w:rsidRDefault="00236F7E" w:rsidP="004151DA">
            <w:pPr>
              <w:rPr>
                <w:b/>
                <w:noProof/>
              </w:rPr>
            </w:pPr>
          </w:p>
          <w:p w14:paraId="13D13552" w14:textId="3D4238C8" w:rsidR="0083289D" w:rsidRDefault="0083289D" w:rsidP="004151DA">
            <w:pPr>
              <w:rPr>
                <w:b/>
                <w:noProof/>
              </w:rPr>
            </w:pPr>
          </w:p>
          <w:p w14:paraId="37F2087A" w14:textId="77777777" w:rsidR="0083289D" w:rsidRDefault="0083289D" w:rsidP="004151DA">
            <w:pPr>
              <w:rPr>
                <w:b/>
                <w:noProof/>
              </w:rPr>
            </w:pPr>
          </w:p>
          <w:p w14:paraId="57DAB1CB" w14:textId="1D0084C4" w:rsidR="0083289D" w:rsidRPr="00B16A14" w:rsidRDefault="0083289D" w:rsidP="004151DA">
            <w:pPr>
              <w:rPr>
                <w:b/>
                <w:noProof/>
              </w:rPr>
            </w:pPr>
          </w:p>
        </w:tc>
      </w:tr>
      <w:tr w:rsidR="00D958B6" w14:paraId="620C52F7" w14:textId="77777777" w:rsidTr="00236F7E">
        <w:trPr>
          <w:trHeight w:val="638"/>
        </w:trPr>
        <w:tc>
          <w:tcPr>
            <w:tcW w:w="9355" w:type="dxa"/>
            <w:gridSpan w:val="2"/>
            <w:shd w:val="clear" w:color="auto" w:fill="31849B"/>
            <w:vAlign w:val="center"/>
          </w:tcPr>
          <w:p w14:paraId="60BD87B7" w14:textId="6D64F54E" w:rsidR="00D958B6" w:rsidRDefault="00D958B6" w:rsidP="0001667E">
            <w:pPr>
              <w:rPr>
                <w:b/>
                <w:color w:val="FFFFFF" w:themeColor="background1"/>
              </w:rPr>
            </w:pPr>
            <w:r>
              <w:rPr>
                <w:b/>
                <w:color w:val="FFFFFF" w:themeColor="background1"/>
              </w:rPr>
              <w:t xml:space="preserve">Action Plan: </w:t>
            </w:r>
            <w:r w:rsidRPr="00D958B6">
              <w:rPr>
                <w:b/>
                <w:color w:val="FFFFFF" w:themeColor="background1"/>
              </w:rPr>
              <w:t>(include next steps, who, when, etc.)</w:t>
            </w:r>
          </w:p>
        </w:tc>
      </w:tr>
      <w:tr w:rsidR="00D958B6" w:rsidRPr="00257AB7" w14:paraId="12FBCD62" w14:textId="77777777" w:rsidTr="00236F7E">
        <w:trPr>
          <w:trHeight w:val="1070"/>
        </w:trPr>
        <w:tc>
          <w:tcPr>
            <w:tcW w:w="9355" w:type="dxa"/>
            <w:gridSpan w:val="2"/>
          </w:tcPr>
          <w:p w14:paraId="7F84CC3A" w14:textId="17AC8479" w:rsidR="00D958B6" w:rsidRDefault="00D958B6" w:rsidP="0001667E">
            <w:pPr>
              <w:rPr>
                <w:noProof/>
              </w:rPr>
            </w:pPr>
          </w:p>
          <w:p w14:paraId="249BC8A1" w14:textId="77777777" w:rsidR="00D958B6" w:rsidRDefault="00D958B6" w:rsidP="0001667E">
            <w:pPr>
              <w:rPr>
                <w:noProof/>
              </w:rPr>
            </w:pPr>
          </w:p>
          <w:p w14:paraId="076C9033" w14:textId="196D029E" w:rsidR="00D958B6" w:rsidRDefault="00D958B6" w:rsidP="0001667E">
            <w:pPr>
              <w:rPr>
                <w:b/>
                <w:noProof/>
              </w:rPr>
            </w:pPr>
          </w:p>
          <w:p w14:paraId="060A30D5" w14:textId="50000F27" w:rsidR="00236F7E" w:rsidRDefault="00236F7E" w:rsidP="0001667E">
            <w:pPr>
              <w:rPr>
                <w:b/>
                <w:noProof/>
              </w:rPr>
            </w:pPr>
          </w:p>
          <w:p w14:paraId="2D5238B7" w14:textId="7FB7E13C" w:rsidR="00236F7E" w:rsidRDefault="00236F7E" w:rsidP="0001667E">
            <w:pPr>
              <w:rPr>
                <w:b/>
                <w:noProof/>
              </w:rPr>
            </w:pPr>
          </w:p>
          <w:p w14:paraId="16499359" w14:textId="1FA67AED" w:rsidR="00D65A7E" w:rsidRDefault="00D65A7E" w:rsidP="0001667E">
            <w:pPr>
              <w:rPr>
                <w:b/>
                <w:noProof/>
              </w:rPr>
            </w:pPr>
            <w:bookmarkStart w:id="0" w:name="_GoBack"/>
            <w:bookmarkEnd w:id="0"/>
          </w:p>
          <w:p w14:paraId="0F434B59" w14:textId="77777777" w:rsidR="00236F7E" w:rsidRDefault="00236F7E" w:rsidP="0001667E">
            <w:pPr>
              <w:rPr>
                <w:b/>
                <w:noProof/>
              </w:rPr>
            </w:pPr>
          </w:p>
          <w:p w14:paraId="017ADEB1" w14:textId="61BDE9F7" w:rsidR="00236F7E" w:rsidRDefault="00236F7E" w:rsidP="0001667E">
            <w:pPr>
              <w:rPr>
                <w:b/>
                <w:noProof/>
              </w:rPr>
            </w:pPr>
          </w:p>
          <w:p w14:paraId="4DC59561" w14:textId="300077B7" w:rsidR="00236F7E" w:rsidRDefault="00236F7E" w:rsidP="0001667E">
            <w:pPr>
              <w:rPr>
                <w:b/>
                <w:noProof/>
              </w:rPr>
            </w:pPr>
          </w:p>
          <w:p w14:paraId="1CFD7A47" w14:textId="013454B8" w:rsidR="00236F7E" w:rsidRDefault="00236F7E" w:rsidP="0001667E">
            <w:pPr>
              <w:rPr>
                <w:b/>
                <w:noProof/>
              </w:rPr>
            </w:pPr>
          </w:p>
          <w:p w14:paraId="6013EB49" w14:textId="0DC66EB4" w:rsidR="00D958B6" w:rsidRDefault="00D958B6" w:rsidP="0001667E">
            <w:pPr>
              <w:rPr>
                <w:b/>
                <w:noProof/>
              </w:rPr>
            </w:pPr>
          </w:p>
          <w:p w14:paraId="7736363E" w14:textId="77777777" w:rsidR="00D958B6" w:rsidRDefault="00D958B6" w:rsidP="0001667E">
            <w:pPr>
              <w:rPr>
                <w:b/>
                <w:noProof/>
              </w:rPr>
            </w:pPr>
          </w:p>
          <w:p w14:paraId="08507DEE" w14:textId="6C16AEF1" w:rsidR="00D958B6" w:rsidRPr="00257AB7" w:rsidRDefault="00D958B6" w:rsidP="0001667E">
            <w:pPr>
              <w:rPr>
                <w:color w:val="1F497D"/>
              </w:rPr>
            </w:pPr>
          </w:p>
        </w:tc>
      </w:tr>
    </w:tbl>
    <w:p w14:paraId="6552EC76" w14:textId="77777777" w:rsidR="000D302A" w:rsidRDefault="000D302A"/>
    <w:sectPr w:rsidR="000D302A" w:rsidSect="008F03E3">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D6762"/>
    <w:multiLevelType w:val="hybridMultilevel"/>
    <w:tmpl w:val="A6ACB2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91F7F90"/>
    <w:multiLevelType w:val="hybridMultilevel"/>
    <w:tmpl w:val="A6ACB2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D260AA"/>
    <w:multiLevelType w:val="hybridMultilevel"/>
    <w:tmpl w:val="7390D3D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5C2B1CF0"/>
    <w:multiLevelType w:val="hybridMultilevel"/>
    <w:tmpl w:val="974E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2224C"/>
    <w:multiLevelType w:val="hybridMultilevel"/>
    <w:tmpl w:val="DE48096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A536A4"/>
    <w:multiLevelType w:val="hybridMultilevel"/>
    <w:tmpl w:val="C458E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num w:numId="1">
    <w:abstractNumId w:val="11"/>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3"/>
  </w:num>
  <w:num w:numId="6">
    <w:abstractNumId w:val="0"/>
  </w:num>
  <w:num w:numId="7">
    <w:abstractNumId w:val="2"/>
  </w:num>
  <w:num w:numId="8">
    <w:abstractNumId w:val="13"/>
  </w:num>
  <w:num w:numId="9">
    <w:abstractNumId w:val="5"/>
  </w:num>
  <w:num w:numId="10">
    <w:abstractNumId w:val="1"/>
  </w:num>
  <w:num w:numId="11">
    <w:abstractNumId w:val="10"/>
  </w:num>
  <w:num w:numId="12">
    <w:abstractNumId w:val="6"/>
  </w:num>
  <w:num w:numId="13">
    <w:abstractNumId w:val="9"/>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CCE"/>
    <w:rsid w:val="00001FEC"/>
    <w:rsid w:val="00005AE2"/>
    <w:rsid w:val="00030AE8"/>
    <w:rsid w:val="000338D6"/>
    <w:rsid w:val="000369F8"/>
    <w:rsid w:val="00061211"/>
    <w:rsid w:val="000B0B48"/>
    <w:rsid w:val="000B35E2"/>
    <w:rsid w:val="000B7DF2"/>
    <w:rsid w:val="000C2310"/>
    <w:rsid w:val="000D302A"/>
    <w:rsid w:val="000F293A"/>
    <w:rsid w:val="000F419E"/>
    <w:rsid w:val="001105DD"/>
    <w:rsid w:val="00133BB6"/>
    <w:rsid w:val="00145243"/>
    <w:rsid w:val="00147C79"/>
    <w:rsid w:val="001547E5"/>
    <w:rsid w:val="00180394"/>
    <w:rsid w:val="0019503A"/>
    <w:rsid w:val="001E7442"/>
    <w:rsid w:val="00236F7E"/>
    <w:rsid w:val="00241403"/>
    <w:rsid w:val="00265C9D"/>
    <w:rsid w:val="002F29B3"/>
    <w:rsid w:val="003B63FE"/>
    <w:rsid w:val="003D36D6"/>
    <w:rsid w:val="003D3A8F"/>
    <w:rsid w:val="00400762"/>
    <w:rsid w:val="0040076B"/>
    <w:rsid w:val="004173AE"/>
    <w:rsid w:val="004337BE"/>
    <w:rsid w:val="004367FC"/>
    <w:rsid w:val="0049280C"/>
    <w:rsid w:val="004B27CB"/>
    <w:rsid w:val="004E6F4A"/>
    <w:rsid w:val="00560CCE"/>
    <w:rsid w:val="0056137C"/>
    <w:rsid w:val="00565D92"/>
    <w:rsid w:val="00580BF8"/>
    <w:rsid w:val="00590C90"/>
    <w:rsid w:val="005A6DBF"/>
    <w:rsid w:val="006121AB"/>
    <w:rsid w:val="00633A02"/>
    <w:rsid w:val="006466E1"/>
    <w:rsid w:val="00652686"/>
    <w:rsid w:val="006561D8"/>
    <w:rsid w:val="006636EC"/>
    <w:rsid w:val="00684A49"/>
    <w:rsid w:val="0069512A"/>
    <w:rsid w:val="006B7246"/>
    <w:rsid w:val="007120A7"/>
    <w:rsid w:val="00731ECF"/>
    <w:rsid w:val="007658AC"/>
    <w:rsid w:val="0077633D"/>
    <w:rsid w:val="00777241"/>
    <w:rsid w:val="007B3B82"/>
    <w:rsid w:val="007C7128"/>
    <w:rsid w:val="007E62FC"/>
    <w:rsid w:val="00805F2D"/>
    <w:rsid w:val="0083289D"/>
    <w:rsid w:val="00856E11"/>
    <w:rsid w:val="008B3349"/>
    <w:rsid w:val="008C4BAD"/>
    <w:rsid w:val="00912E44"/>
    <w:rsid w:val="00924401"/>
    <w:rsid w:val="00935EC6"/>
    <w:rsid w:val="00936A6B"/>
    <w:rsid w:val="0093740B"/>
    <w:rsid w:val="00981923"/>
    <w:rsid w:val="0099601A"/>
    <w:rsid w:val="009A1D84"/>
    <w:rsid w:val="009E0D52"/>
    <w:rsid w:val="00A20152"/>
    <w:rsid w:val="00A83A30"/>
    <w:rsid w:val="00A83E41"/>
    <w:rsid w:val="00AC6FE9"/>
    <w:rsid w:val="00B02248"/>
    <w:rsid w:val="00B343C2"/>
    <w:rsid w:val="00B62773"/>
    <w:rsid w:val="00B91B33"/>
    <w:rsid w:val="00C1701A"/>
    <w:rsid w:val="00C34336"/>
    <w:rsid w:val="00C82CE4"/>
    <w:rsid w:val="00CE50BA"/>
    <w:rsid w:val="00CF3BA7"/>
    <w:rsid w:val="00CF5EA9"/>
    <w:rsid w:val="00D01BF0"/>
    <w:rsid w:val="00D1325C"/>
    <w:rsid w:val="00D1763F"/>
    <w:rsid w:val="00D45D0D"/>
    <w:rsid w:val="00D65A7E"/>
    <w:rsid w:val="00D902EA"/>
    <w:rsid w:val="00D958B6"/>
    <w:rsid w:val="00DB7326"/>
    <w:rsid w:val="00DC3919"/>
    <w:rsid w:val="00DC50C6"/>
    <w:rsid w:val="00E0266E"/>
    <w:rsid w:val="00E20818"/>
    <w:rsid w:val="00E22563"/>
    <w:rsid w:val="00E60C42"/>
    <w:rsid w:val="00E868EF"/>
    <w:rsid w:val="00EA7CFE"/>
    <w:rsid w:val="00EB01C7"/>
    <w:rsid w:val="00EF17C8"/>
    <w:rsid w:val="00F044AE"/>
    <w:rsid w:val="00F165EC"/>
    <w:rsid w:val="00F35C16"/>
    <w:rsid w:val="00F42F53"/>
    <w:rsid w:val="00FA406A"/>
    <w:rsid w:val="00FA4DBD"/>
    <w:rsid w:val="00FB7671"/>
    <w:rsid w:val="00FD08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C8C7F"/>
  <w15:docId w15:val="{2A4161A1-38E7-42B7-A6E7-34BCBBD41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styleId="UnresolvedMention">
    <w:name w:val="Unresolved Mention"/>
    <w:basedOn w:val="DefaultParagraphFont"/>
    <w:uiPriority w:val="99"/>
    <w:semiHidden/>
    <w:unhideWhenUsed/>
    <w:rsid w:val="004928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97135">
      <w:bodyDiv w:val="1"/>
      <w:marLeft w:val="0"/>
      <w:marRight w:val="0"/>
      <w:marTop w:val="0"/>
      <w:marBottom w:val="0"/>
      <w:divBdr>
        <w:top w:val="none" w:sz="0" w:space="0" w:color="auto"/>
        <w:left w:val="none" w:sz="0" w:space="0" w:color="auto"/>
        <w:bottom w:val="none" w:sz="0" w:space="0" w:color="auto"/>
        <w:right w:val="none" w:sz="0" w:space="0" w:color="auto"/>
      </w:divBdr>
    </w:div>
    <w:div w:id="222066255">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511072374">
      <w:bodyDiv w:val="1"/>
      <w:marLeft w:val="0"/>
      <w:marRight w:val="0"/>
      <w:marTop w:val="0"/>
      <w:marBottom w:val="0"/>
      <w:divBdr>
        <w:top w:val="none" w:sz="0" w:space="0" w:color="auto"/>
        <w:left w:val="none" w:sz="0" w:space="0" w:color="auto"/>
        <w:bottom w:val="none" w:sz="0" w:space="0" w:color="auto"/>
        <w:right w:val="none" w:sz="0" w:space="0" w:color="auto"/>
      </w:divBdr>
    </w:div>
    <w:div w:id="511799578">
      <w:bodyDiv w:val="1"/>
      <w:marLeft w:val="0"/>
      <w:marRight w:val="0"/>
      <w:marTop w:val="0"/>
      <w:marBottom w:val="0"/>
      <w:divBdr>
        <w:top w:val="none" w:sz="0" w:space="0" w:color="auto"/>
        <w:left w:val="none" w:sz="0" w:space="0" w:color="auto"/>
        <w:bottom w:val="none" w:sz="0" w:space="0" w:color="auto"/>
        <w:right w:val="none" w:sz="0" w:space="0" w:color="auto"/>
      </w:divBdr>
    </w:div>
    <w:div w:id="601189390">
      <w:bodyDiv w:val="1"/>
      <w:marLeft w:val="0"/>
      <w:marRight w:val="0"/>
      <w:marTop w:val="0"/>
      <w:marBottom w:val="0"/>
      <w:divBdr>
        <w:top w:val="none" w:sz="0" w:space="0" w:color="auto"/>
        <w:left w:val="none" w:sz="0" w:space="0" w:color="auto"/>
        <w:bottom w:val="none" w:sz="0" w:space="0" w:color="auto"/>
        <w:right w:val="none" w:sz="0" w:space="0" w:color="auto"/>
      </w:divBdr>
    </w:div>
    <w:div w:id="703560199">
      <w:bodyDiv w:val="1"/>
      <w:marLeft w:val="0"/>
      <w:marRight w:val="0"/>
      <w:marTop w:val="0"/>
      <w:marBottom w:val="0"/>
      <w:divBdr>
        <w:top w:val="none" w:sz="0" w:space="0" w:color="auto"/>
        <w:left w:val="none" w:sz="0" w:space="0" w:color="auto"/>
        <w:bottom w:val="none" w:sz="0" w:space="0" w:color="auto"/>
        <w:right w:val="none" w:sz="0" w:space="0" w:color="auto"/>
      </w:divBdr>
    </w:div>
    <w:div w:id="706836835">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607540433">
      <w:bodyDiv w:val="1"/>
      <w:marLeft w:val="0"/>
      <w:marRight w:val="0"/>
      <w:marTop w:val="0"/>
      <w:marBottom w:val="0"/>
      <w:divBdr>
        <w:top w:val="none" w:sz="0" w:space="0" w:color="auto"/>
        <w:left w:val="none" w:sz="0" w:space="0" w:color="auto"/>
        <w:bottom w:val="none" w:sz="0" w:space="0" w:color="auto"/>
        <w:right w:val="none" w:sz="0" w:space="0" w:color="auto"/>
      </w:divBdr>
    </w:div>
    <w:div w:id="1742556379">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s.usda.gov/data-products/food-access-research-atlas/" TargetMode="External"/><Relationship Id="rId3" Type="http://schemas.openxmlformats.org/officeDocument/2006/relationships/settings" Target="settings.xml"/><Relationship Id="rId7" Type="http://schemas.openxmlformats.org/officeDocument/2006/relationships/hyperlink" Target="http://datacenter.kidscount.org/location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p.feedingamerica.org/" TargetMode="External"/><Relationship Id="rId11" Type="http://schemas.openxmlformats.org/officeDocument/2006/relationships/fontTable" Target="fontTable.xml"/><Relationship Id="rId5" Type="http://schemas.openxmlformats.org/officeDocument/2006/relationships/hyperlink" Target="http://www.webjunction.org/events/webjunction/beyond-food-for-fines.html" TargetMode="External"/><Relationship Id="rId10" Type="http://schemas.openxmlformats.org/officeDocument/2006/relationships/hyperlink" Target="http://www.feedingamerica.org/take-action/campaigns/summer-hunger/family-action-plan.pdf" TargetMode="External"/><Relationship Id="rId4" Type="http://schemas.openxmlformats.org/officeDocument/2006/relationships/webSettings" Target="webSettings.xml"/><Relationship Id="rId9" Type="http://schemas.openxmlformats.org/officeDocument/2006/relationships/hyperlink" Target="http://www.feedingamerica.org/find-your-local-foodb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cp:revision>
  <dcterms:created xsi:type="dcterms:W3CDTF">2017-10-27T23:57:00Z</dcterms:created>
  <dcterms:modified xsi:type="dcterms:W3CDTF">2017-10-31T17:08:00Z</dcterms:modified>
</cp:coreProperties>
</file>