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1CF94" w14:textId="383AB3B7" w:rsidR="00A42EBA" w:rsidRDefault="00090017" w:rsidP="00A42EBA">
      <w:pPr>
        <w:spacing w:line="240" w:lineRule="auto"/>
        <w:contextualSpacing/>
        <w:rPr>
          <w:rFonts w:asciiTheme="majorHAnsi" w:eastAsiaTheme="majorEastAsia" w:hAnsiTheme="majorHAnsi" w:cstheme="majorBidi"/>
          <w:b/>
          <w:bCs/>
          <w:color w:val="365F91" w:themeColor="accent1" w:themeShade="BF"/>
          <w:sz w:val="28"/>
          <w:szCs w:val="28"/>
        </w:rPr>
      </w:pPr>
      <w:r w:rsidRPr="00090017">
        <w:rPr>
          <w:rFonts w:asciiTheme="majorHAnsi" w:eastAsiaTheme="majorEastAsia" w:hAnsiTheme="majorHAnsi" w:cstheme="majorBidi"/>
          <w:b/>
          <w:bCs/>
          <w:color w:val="365F91" w:themeColor="accent1" w:themeShade="BF"/>
          <w:sz w:val="28"/>
          <w:szCs w:val="28"/>
        </w:rPr>
        <w:t xml:space="preserve">Measures that Matter Part Three: Moving Toward </w:t>
      </w:r>
      <w:r w:rsidR="00DB701C">
        <w:rPr>
          <w:rFonts w:asciiTheme="majorHAnsi" w:eastAsiaTheme="majorEastAsia" w:hAnsiTheme="majorHAnsi" w:cstheme="majorBidi"/>
          <w:b/>
          <w:bCs/>
          <w:color w:val="365F91" w:themeColor="accent1" w:themeShade="BF"/>
          <w:sz w:val="28"/>
          <w:szCs w:val="28"/>
        </w:rPr>
        <w:br/>
      </w:r>
      <w:r w:rsidRPr="00090017">
        <w:rPr>
          <w:rFonts w:asciiTheme="majorHAnsi" w:eastAsiaTheme="majorEastAsia" w:hAnsiTheme="majorHAnsi" w:cstheme="majorBidi"/>
          <w:b/>
          <w:bCs/>
          <w:color w:val="365F91" w:themeColor="accent1" w:themeShade="BF"/>
          <w:sz w:val="28"/>
          <w:szCs w:val="28"/>
        </w:rPr>
        <w:t>More Meaningful Measures</w:t>
      </w:r>
    </w:p>
    <w:p w14:paraId="683840EE" w14:textId="70FEEB32" w:rsidR="00A42EBA" w:rsidRPr="00A42EBA" w:rsidRDefault="00002DCB" w:rsidP="00A42EBA">
      <w:pPr>
        <w:spacing w:line="240" w:lineRule="auto"/>
        <w:contextualSpacing/>
        <w:rPr>
          <w:rFonts w:asciiTheme="majorHAnsi" w:eastAsiaTheme="majorEastAsia" w:hAnsiTheme="majorHAnsi" w:cstheme="majorBidi"/>
          <w:b/>
          <w:bCs/>
          <w:color w:val="365F91" w:themeColor="accent1" w:themeShade="BF"/>
          <w:sz w:val="28"/>
          <w:szCs w:val="28"/>
        </w:rPr>
      </w:pPr>
      <w:hyperlink r:id="rId8" w:history="1">
        <w:r w:rsidR="00A42EBA" w:rsidRPr="00CC0A7B">
          <w:rPr>
            <w:rStyle w:val="Hyperlink"/>
          </w:rPr>
          <w:t>http://www.webjunction.org/events/webjunction/measures-that-matter-3.html</w:t>
        </w:r>
      </w:hyperlink>
    </w:p>
    <w:p w14:paraId="3E798399" w14:textId="12D682A3" w:rsidR="00A42EBA" w:rsidRPr="00A42EBA" w:rsidRDefault="008C4BAD" w:rsidP="00A42EBA">
      <w:pPr>
        <w:pStyle w:val="NormalWeb"/>
        <w:rPr>
          <w:rFonts w:asciiTheme="minorHAnsi" w:eastAsiaTheme="minorEastAsia" w:hAnsiTheme="minorHAnsi" w:cstheme="minorBidi"/>
          <w:sz w:val="22"/>
          <w:szCs w:val="22"/>
        </w:rPr>
      </w:pPr>
      <w:r w:rsidRPr="00D54DE2">
        <w:rPr>
          <w:rFonts w:asciiTheme="minorHAnsi" w:hAnsiTheme="minorHAnsi" w:cs="Helvetica"/>
          <w:b/>
          <w:color w:val="000000"/>
          <w:sz w:val="22"/>
          <w:szCs w:val="22"/>
        </w:rPr>
        <w:t xml:space="preserve">Event </w:t>
      </w:r>
      <w:r w:rsidR="00981923" w:rsidRPr="00D54DE2">
        <w:rPr>
          <w:rFonts w:asciiTheme="minorHAnsi" w:hAnsiTheme="minorHAnsi" w:cs="Helvetica"/>
          <w:b/>
          <w:color w:val="000000"/>
          <w:sz w:val="22"/>
          <w:szCs w:val="22"/>
        </w:rPr>
        <w:t>Description</w:t>
      </w:r>
      <w:r w:rsidRPr="00D54DE2">
        <w:rPr>
          <w:rFonts w:asciiTheme="minorHAnsi" w:hAnsiTheme="minorHAnsi" w:cs="Helvetica"/>
          <w:color w:val="000000"/>
          <w:sz w:val="22"/>
          <w:szCs w:val="22"/>
        </w:rPr>
        <w:t xml:space="preserve">: </w:t>
      </w:r>
      <w:r w:rsidR="00A42EBA" w:rsidRPr="00A42EBA">
        <w:rPr>
          <w:rFonts w:asciiTheme="minorHAnsi" w:eastAsiaTheme="minorEastAsia" w:hAnsiTheme="minorHAnsi" w:cstheme="minorBidi"/>
          <w:sz w:val="22"/>
          <w:szCs w:val="22"/>
        </w:rPr>
        <w:t>Circulation, visits, program attendance, patron satisfaction…these are some of the many measures commonly collected by public librarians. But how well do we understand what measures tell the most meaningful stories of today’s libraries? During the first two webinars in this series, we discussed the current state of the public library data landscape – what data collection efforts exist at the national level and how they impact what we know about libraries and their patrons. In this third webinar, we will look toward the future, considering what data public librarians should collect to demonstrate their impact. To do this, we will hear from speakers both within and outside of the library field who will provide multiple perspectives on meaningful</w:t>
      </w:r>
      <w:r w:rsidR="00A42EBA">
        <w:rPr>
          <w:rFonts w:asciiTheme="minorHAnsi" w:eastAsiaTheme="minorEastAsia" w:hAnsiTheme="minorHAnsi" w:cstheme="minorBidi"/>
          <w:sz w:val="22"/>
          <w:szCs w:val="22"/>
        </w:rPr>
        <w:t xml:space="preserve"> measures.</w:t>
      </w:r>
    </w:p>
    <w:p w14:paraId="442D24C8" w14:textId="1F209D1D" w:rsidR="00A42EBA" w:rsidRPr="00A42EBA" w:rsidRDefault="00A42EBA" w:rsidP="00A42EBA">
      <w:pPr>
        <w:pStyle w:val="NormalWeb"/>
        <w:rPr>
          <w:rFonts w:asciiTheme="minorHAnsi" w:eastAsiaTheme="minorEastAsia" w:hAnsiTheme="minorHAnsi" w:cstheme="minorBidi"/>
          <w:sz w:val="22"/>
          <w:szCs w:val="22"/>
        </w:rPr>
      </w:pPr>
      <w:r w:rsidRPr="00A42EBA">
        <w:rPr>
          <w:rFonts w:asciiTheme="minorHAnsi" w:eastAsiaTheme="minorEastAsia" w:hAnsiTheme="minorHAnsi" w:cstheme="minorBidi"/>
          <w:sz w:val="22"/>
          <w:szCs w:val="22"/>
        </w:rPr>
        <w:t>This webinar is the third in a three-part series about the Institute of Museum and Library Services’ and the Chief Officers of State Library Agencies’ Measures that Matter initiative, a field-wide discussion of the curren</w:t>
      </w:r>
      <w:r>
        <w:rPr>
          <w:rFonts w:asciiTheme="minorHAnsi" w:eastAsiaTheme="minorEastAsia" w:hAnsiTheme="minorHAnsi" w:cstheme="minorBidi"/>
          <w:sz w:val="22"/>
          <w:szCs w:val="22"/>
        </w:rPr>
        <w:t>t state of public library data.</w:t>
      </w:r>
    </w:p>
    <w:p w14:paraId="0211977E" w14:textId="12E8DEEE" w:rsidR="00D54DE2" w:rsidRPr="002E67B5" w:rsidRDefault="00A42EBA" w:rsidP="00A42EBA">
      <w:pPr>
        <w:pStyle w:val="NormalWeb"/>
        <w:rPr>
          <w:rFonts w:asciiTheme="minorHAnsi" w:hAnsiTheme="minorHAnsi"/>
          <w:sz w:val="22"/>
          <w:szCs w:val="22"/>
          <w:vertAlign w:val="subscript"/>
        </w:rPr>
      </w:pPr>
      <w:r w:rsidRPr="00A42EBA">
        <w:rPr>
          <w:rFonts w:asciiTheme="minorHAnsi" w:eastAsiaTheme="minorEastAsia" w:hAnsiTheme="minorHAnsi" w:cstheme="minorBidi"/>
          <w:b/>
          <w:sz w:val="22"/>
          <w:szCs w:val="22"/>
        </w:rPr>
        <w:t>Presented by:</w:t>
      </w:r>
      <w:r w:rsidRPr="00A42EBA">
        <w:rPr>
          <w:rFonts w:asciiTheme="minorHAnsi" w:eastAsiaTheme="minorEastAsia" w:hAnsiTheme="minorHAnsi" w:cstheme="minorBidi"/>
          <w:sz w:val="22"/>
          <w:szCs w:val="22"/>
        </w:rPr>
        <w:t xml:space="preserve"> Chantal Stevens, Rebecca Jones and Linda Hofschire</w:t>
      </w:r>
    </w:p>
    <w:tbl>
      <w:tblPr>
        <w:tblStyle w:val="TableGrid"/>
        <w:tblW w:w="9558" w:type="dxa"/>
        <w:tblLook w:val="04A0" w:firstRow="1" w:lastRow="0" w:firstColumn="1" w:lastColumn="0" w:noHBand="0" w:noVBand="1"/>
      </w:tblPr>
      <w:tblGrid>
        <w:gridCol w:w="1533"/>
        <w:gridCol w:w="8025"/>
      </w:tblGrid>
      <w:tr w:rsidR="00560CCE"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C70DC4">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5" w:type="dxa"/>
            <w:vAlign w:val="center"/>
          </w:tcPr>
          <w:p w14:paraId="105FEE25" w14:textId="77777777" w:rsidR="00560CCE" w:rsidRDefault="00560CCE" w:rsidP="005A0B4F"/>
        </w:tc>
      </w:tr>
      <w:tr w:rsidR="00560CCE" w14:paraId="1D92BA34" w14:textId="77777777" w:rsidTr="00C70DC4">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5" w:type="dxa"/>
            <w:vAlign w:val="center"/>
          </w:tcPr>
          <w:p w14:paraId="46755034" w14:textId="77777777" w:rsidR="00560CCE" w:rsidRDefault="00560CCE" w:rsidP="005A0B4F"/>
        </w:tc>
      </w:tr>
      <w:tr w:rsidR="00560CCE" w:rsidRPr="001B40A2" w14:paraId="3220BA0E" w14:textId="77777777" w:rsidTr="00FD156D">
        <w:trPr>
          <w:trHeight w:val="548"/>
        </w:trPr>
        <w:tc>
          <w:tcPr>
            <w:tcW w:w="9558" w:type="dxa"/>
            <w:gridSpan w:val="2"/>
            <w:shd w:val="clear" w:color="auto" w:fill="31849B" w:themeFill="accent5" w:themeFillShade="BF"/>
            <w:vAlign w:val="center"/>
          </w:tcPr>
          <w:p w14:paraId="4E0BB4B7" w14:textId="7947E9A2" w:rsidR="00560CCE" w:rsidRPr="002A462D" w:rsidRDefault="00640D19" w:rsidP="00FD156D">
            <w:pPr>
              <w:rPr>
                <w:b/>
                <w:color w:val="FFFFFF" w:themeColor="background1"/>
              </w:rPr>
            </w:pPr>
            <w:r w:rsidRPr="00FD156D">
              <w:rPr>
                <w:b/>
                <w:iCs/>
                <w:color w:val="FFFFFF" w:themeColor="background1"/>
              </w:rPr>
              <w:t xml:space="preserve">Community Indicators </w:t>
            </w:r>
          </w:p>
        </w:tc>
      </w:tr>
      <w:tr w:rsidR="00560CCE" w:rsidRPr="001B40A2" w14:paraId="4392BE79" w14:textId="77777777" w:rsidTr="00523EA2">
        <w:trPr>
          <w:trHeight w:val="638"/>
        </w:trPr>
        <w:tc>
          <w:tcPr>
            <w:tcW w:w="9558" w:type="dxa"/>
            <w:gridSpan w:val="2"/>
            <w:shd w:val="clear" w:color="auto" w:fill="auto"/>
            <w:vAlign w:val="center"/>
          </w:tcPr>
          <w:p w14:paraId="0EB3C38B" w14:textId="77777777" w:rsidR="00FD156D" w:rsidRPr="00DB701C" w:rsidRDefault="00FD156D" w:rsidP="00FD156D">
            <w:pPr>
              <w:rPr>
                <w:rFonts w:ascii="Calibri" w:eastAsia="Times New Roman" w:hAnsi="Calibri" w:cs="Calibri"/>
                <w:sz w:val="16"/>
                <w:szCs w:val="16"/>
              </w:rPr>
            </w:pPr>
          </w:p>
          <w:p w14:paraId="37C0106D" w14:textId="77777777" w:rsidR="00640D19" w:rsidRDefault="00640D19" w:rsidP="00640D19">
            <w:r>
              <w:t xml:space="preserve">Two examples of Community Indicators projects that were mentioned during the webinar are </w:t>
            </w:r>
            <w:hyperlink r:id="rId9" w:history="1">
              <w:r w:rsidRPr="00D61A56">
                <w:rPr>
                  <w:rStyle w:val="Hyperlink"/>
                </w:rPr>
                <w:t>ACT Rochester</w:t>
              </w:r>
            </w:hyperlink>
            <w:r>
              <w:t xml:space="preserve"> and </w:t>
            </w:r>
            <w:hyperlink r:id="rId10" w:history="1">
              <w:r w:rsidRPr="00D61A56">
                <w:rPr>
                  <w:rStyle w:val="Hyperlink"/>
                </w:rPr>
                <w:t>SA2020</w:t>
              </w:r>
            </w:hyperlink>
            <w:r>
              <w:t xml:space="preserve">. Check out the various indicators for these projects – for example, children and youth, education, financial self-sufficiency, and arts and culture. Do these give you any new ideas for measures you could track in your library? If so, list them below.  </w:t>
            </w:r>
          </w:p>
          <w:p w14:paraId="75ABFF9B" w14:textId="77777777" w:rsidR="00CA3FE3" w:rsidRDefault="00CA3FE3" w:rsidP="00640D19">
            <w:pPr>
              <w:pStyle w:val="ListParagraph"/>
              <w:spacing w:line="312" w:lineRule="auto"/>
            </w:pPr>
          </w:p>
          <w:p w14:paraId="7698AEC1" w14:textId="77777777" w:rsidR="00640D19" w:rsidRDefault="00640D19" w:rsidP="00640D19">
            <w:pPr>
              <w:pStyle w:val="ListParagraph"/>
              <w:spacing w:line="312" w:lineRule="auto"/>
            </w:pPr>
          </w:p>
          <w:p w14:paraId="56F51A50" w14:textId="03B3BD69" w:rsidR="00640D19" w:rsidRDefault="00640D19" w:rsidP="00640D19">
            <w:pPr>
              <w:pStyle w:val="ListParagraph"/>
              <w:spacing w:line="312" w:lineRule="auto"/>
            </w:pPr>
          </w:p>
          <w:p w14:paraId="217615B3" w14:textId="4A2B427A" w:rsidR="00275D14" w:rsidRDefault="00275D14" w:rsidP="00640D19">
            <w:pPr>
              <w:pStyle w:val="ListParagraph"/>
              <w:spacing w:line="312" w:lineRule="auto"/>
            </w:pPr>
          </w:p>
          <w:p w14:paraId="78A222FA" w14:textId="7F24B6CB" w:rsidR="00275D14" w:rsidRDefault="00275D14" w:rsidP="00640D19">
            <w:pPr>
              <w:pStyle w:val="ListParagraph"/>
              <w:spacing w:line="312" w:lineRule="auto"/>
            </w:pPr>
          </w:p>
          <w:p w14:paraId="3E859231" w14:textId="254632CD" w:rsidR="00275D14" w:rsidRDefault="00275D14" w:rsidP="00640D19">
            <w:pPr>
              <w:pStyle w:val="ListParagraph"/>
              <w:spacing w:line="312" w:lineRule="auto"/>
            </w:pPr>
          </w:p>
          <w:p w14:paraId="1117A383" w14:textId="77777777" w:rsidR="00275D14" w:rsidRDefault="00275D14" w:rsidP="00640D19">
            <w:pPr>
              <w:pStyle w:val="ListParagraph"/>
              <w:spacing w:line="312" w:lineRule="auto"/>
            </w:pPr>
          </w:p>
          <w:p w14:paraId="4451AF71" w14:textId="6DEBDCB7" w:rsidR="00640D19" w:rsidRDefault="00640D19" w:rsidP="00640D19">
            <w:pPr>
              <w:pStyle w:val="ListParagraph"/>
              <w:spacing w:line="312" w:lineRule="auto"/>
            </w:pPr>
          </w:p>
          <w:p w14:paraId="0C7F547E" w14:textId="0BD90A91" w:rsidR="000E1759" w:rsidRDefault="000E1759" w:rsidP="00640D19">
            <w:pPr>
              <w:pStyle w:val="ListParagraph"/>
              <w:spacing w:line="312" w:lineRule="auto"/>
            </w:pPr>
          </w:p>
          <w:p w14:paraId="20771746" w14:textId="77777777" w:rsidR="000E1759" w:rsidRDefault="000E1759" w:rsidP="00640D19">
            <w:pPr>
              <w:pStyle w:val="ListParagraph"/>
              <w:spacing w:line="312" w:lineRule="auto"/>
            </w:pPr>
          </w:p>
          <w:p w14:paraId="3C527D03" w14:textId="13FF4DA0" w:rsidR="00640D19" w:rsidRPr="00523EA2" w:rsidRDefault="00640D19" w:rsidP="00640D19">
            <w:pPr>
              <w:pStyle w:val="ListParagraph"/>
              <w:spacing w:line="312" w:lineRule="auto"/>
              <w:rPr>
                <w:noProof/>
              </w:rPr>
            </w:pPr>
          </w:p>
        </w:tc>
      </w:tr>
      <w:tr w:rsidR="000C4D4D" w:rsidRPr="001B40A2" w14:paraId="3331390D" w14:textId="77777777" w:rsidTr="00FD156D">
        <w:trPr>
          <w:trHeight w:val="557"/>
        </w:trPr>
        <w:tc>
          <w:tcPr>
            <w:tcW w:w="9558" w:type="dxa"/>
            <w:gridSpan w:val="2"/>
            <w:shd w:val="clear" w:color="auto" w:fill="31849B" w:themeFill="accent5" w:themeFillShade="BF"/>
            <w:vAlign w:val="center"/>
          </w:tcPr>
          <w:p w14:paraId="018DACF7" w14:textId="09CFF18B" w:rsidR="000C4D4D" w:rsidRDefault="00640D19" w:rsidP="000C4D4D">
            <w:r>
              <w:rPr>
                <w:b/>
                <w:iCs/>
                <w:color w:val="FFFFFF" w:themeColor="background1"/>
              </w:rPr>
              <w:lastRenderedPageBreak/>
              <w:t>Indicator Projects</w:t>
            </w:r>
          </w:p>
        </w:tc>
      </w:tr>
      <w:tr w:rsidR="000C4D4D" w:rsidRPr="001B40A2" w14:paraId="4406515F" w14:textId="77777777" w:rsidTr="000C4D4D">
        <w:trPr>
          <w:trHeight w:val="638"/>
        </w:trPr>
        <w:tc>
          <w:tcPr>
            <w:tcW w:w="9558" w:type="dxa"/>
            <w:gridSpan w:val="2"/>
            <w:shd w:val="clear" w:color="auto" w:fill="auto"/>
            <w:vAlign w:val="center"/>
          </w:tcPr>
          <w:p w14:paraId="2161589C" w14:textId="77777777" w:rsidR="00FD156D" w:rsidRPr="00DB701C" w:rsidRDefault="00FD156D" w:rsidP="00FD156D">
            <w:pPr>
              <w:rPr>
                <w:rFonts w:ascii="Calibri" w:eastAsia="Times New Roman" w:hAnsi="Calibri" w:cs="Calibri"/>
                <w:sz w:val="16"/>
                <w:szCs w:val="16"/>
              </w:rPr>
            </w:pPr>
          </w:p>
          <w:p w14:paraId="0E3B94DD" w14:textId="39D26CB7" w:rsidR="00FB4925" w:rsidRPr="00640D19" w:rsidRDefault="00640D19" w:rsidP="000C4D4D">
            <w:r>
              <w:t xml:space="preserve">Check to see if there any indicator projects in your </w:t>
            </w:r>
            <w:r w:rsidR="00275D14">
              <w:t xml:space="preserve">area </w:t>
            </w:r>
            <w:r>
              <w:t xml:space="preserve">by searching the </w:t>
            </w:r>
            <w:r w:rsidRPr="00D61A56">
              <w:t>Community Indicators Consortium</w:t>
            </w:r>
            <w:r>
              <w:t xml:space="preserve"> </w:t>
            </w:r>
            <w:hyperlink r:id="rId11" w:history="1">
              <w:r w:rsidRPr="00D61A56">
                <w:rPr>
                  <w:rStyle w:val="Hyperlink"/>
                </w:rPr>
                <w:t>projects dat</w:t>
              </w:r>
              <w:r w:rsidRPr="00D61A56">
                <w:rPr>
                  <w:rStyle w:val="Hyperlink"/>
                </w:rPr>
                <w:t>a</w:t>
              </w:r>
              <w:r w:rsidRPr="00D61A56">
                <w:rPr>
                  <w:rStyle w:val="Hyperlink"/>
                </w:rPr>
                <w:t>base</w:t>
              </w:r>
            </w:hyperlink>
            <w:r w:rsidR="00275D14">
              <w:t xml:space="preserve"> (enter state or county in search box).</w:t>
            </w:r>
            <w:r>
              <w:t xml:space="preserve"> If you find a project in your area, consider</w:t>
            </w:r>
            <w:r w:rsidR="00275D14">
              <w:t>/discuss</w:t>
            </w:r>
            <w:r>
              <w:t xml:space="preserve"> how your library contributes to the various indicators.</w:t>
            </w:r>
            <w:r w:rsidR="00275D14">
              <w:t xml:space="preserve"> </w:t>
            </w:r>
            <w:r>
              <w:t xml:space="preserve">  </w:t>
            </w:r>
          </w:p>
          <w:p w14:paraId="2A40618F" w14:textId="2E910A20" w:rsidR="000C4D4D" w:rsidRDefault="000C4D4D" w:rsidP="000C4D4D">
            <w:pPr>
              <w:rPr>
                <w:iCs/>
              </w:rPr>
            </w:pPr>
          </w:p>
          <w:p w14:paraId="0D3E42F9" w14:textId="52E8A58A" w:rsidR="00FD156D" w:rsidRDefault="00FD156D" w:rsidP="000C4D4D">
            <w:pPr>
              <w:rPr>
                <w:iCs/>
              </w:rPr>
            </w:pPr>
          </w:p>
          <w:p w14:paraId="42238DE1" w14:textId="6906B60B" w:rsidR="00275D14" w:rsidRDefault="00275D14" w:rsidP="000C4D4D">
            <w:pPr>
              <w:rPr>
                <w:iCs/>
              </w:rPr>
            </w:pPr>
          </w:p>
          <w:p w14:paraId="4182C4DF" w14:textId="50C78909" w:rsidR="00275D14" w:rsidRDefault="00275D14" w:rsidP="000C4D4D">
            <w:pPr>
              <w:rPr>
                <w:iCs/>
              </w:rPr>
            </w:pPr>
          </w:p>
          <w:p w14:paraId="11E0F8F0" w14:textId="58A18A1C" w:rsidR="00275D14" w:rsidRDefault="00275D14" w:rsidP="000C4D4D">
            <w:pPr>
              <w:rPr>
                <w:iCs/>
              </w:rPr>
            </w:pPr>
          </w:p>
          <w:p w14:paraId="483C4803" w14:textId="4BA36DE3" w:rsidR="00275D14" w:rsidRDefault="00275D14" w:rsidP="000C4D4D">
            <w:pPr>
              <w:rPr>
                <w:iCs/>
              </w:rPr>
            </w:pPr>
          </w:p>
          <w:p w14:paraId="57BB6C4A" w14:textId="4C363005" w:rsidR="00275D14" w:rsidRDefault="00275D14" w:rsidP="000C4D4D">
            <w:pPr>
              <w:rPr>
                <w:iCs/>
              </w:rPr>
            </w:pPr>
          </w:p>
          <w:p w14:paraId="55DD0130" w14:textId="1A837252" w:rsidR="00275D14" w:rsidRDefault="00275D14" w:rsidP="000C4D4D">
            <w:pPr>
              <w:rPr>
                <w:iCs/>
              </w:rPr>
            </w:pPr>
          </w:p>
          <w:p w14:paraId="3FC56C23" w14:textId="77777777" w:rsidR="00275D14" w:rsidRDefault="00275D14" w:rsidP="000C4D4D">
            <w:pPr>
              <w:rPr>
                <w:iCs/>
              </w:rPr>
            </w:pPr>
          </w:p>
          <w:p w14:paraId="782B5F7D" w14:textId="32FB29DC" w:rsidR="00275D14" w:rsidRDefault="00275D14" w:rsidP="000C4D4D">
            <w:pPr>
              <w:rPr>
                <w:iCs/>
              </w:rPr>
            </w:pPr>
          </w:p>
          <w:p w14:paraId="6881AE11" w14:textId="77777777" w:rsidR="00275D14" w:rsidRDefault="00275D14" w:rsidP="000C4D4D">
            <w:pPr>
              <w:rPr>
                <w:iCs/>
              </w:rPr>
            </w:pPr>
          </w:p>
          <w:p w14:paraId="5C8E93A7" w14:textId="77777777" w:rsidR="00275D14" w:rsidRDefault="00275D14" w:rsidP="000C4D4D">
            <w:pPr>
              <w:rPr>
                <w:iCs/>
              </w:rPr>
            </w:pPr>
          </w:p>
          <w:p w14:paraId="5B5E1988" w14:textId="3324EA61" w:rsidR="000C4D4D" w:rsidRPr="000C4D4D" w:rsidRDefault="000C4D4D" w:rsidP="000C4D4D">
            <w:pPr>
              <w:rPr>
                <w:iCs/>
              </w:rPr>
            </w:pPr>
          </w:p>
        </w:tc>
      </w:tr>
      <w:tr w:rsidR="000C4D4D" w:rsidRPr="001B40A2" w14:paraId="08CBF6F8" w14:textId="77777777" w:rsidTr="00FD156D">
        <w:trPr>
          <w:trHeight w:val="530"/>
        </w:trPr>
        <w:tc>
          <w:tcPr>
            <w:tcW w:w="9558" w:type="dxa"/>
            <w:gridSpan w:val="2"/>
            <w:shd w:val="clear" w:color="auto" w:fill="31849B" w:themeFill="accent5" w:themeFillShade="BF"/>
            <w:vAlign w:val="center"/>
          </w:tcPr>
          <w:p w14:paraId="5B453340" w14:textId="77A167D3" w:rsidR="000C4D4D" w:rsidRPr="00FF2627" w:rsidRDefault="00640D19" w:rsidP="000C4D4D">
            <w:pPr>
              <w:spacing w:before="100" w:beforeAutospacing="1" w:after="100" w:afterAutospacing="1"/>
              <w:rPr>
                <w:b/>
                <w:color w:val="FFFFFF" w:themeColor="background1"/>
              </w:rPr>
            </w:pPr>
            <w:r>
              <w:rPr>
                <w:b/>
                <w:iCs/>
                <w:color w:val="FFFFFF" w:themeColor="background1"/>
              </w:rPr>
              <w:t>Focus on User Outcomes</w:t>
            </w:r>
          </w:p>
        </w:tc>
      </w:tr>
      <w:tr w:rsidR="000C4D4D" w:rsidRPr="001B40A2" w14:paraId="2B32BBEC" w14:textId="77777777" w:rsidTr="00523EA2">
        <w:trPr>
          <w:trHeight w:val="1070"/>
        </w:trPr>
        <w:tc>
          <w:tcPr>
            <w:tcW w:w="9558" w:type="dxa"/>
            <w:gridSpan w:val="2"/>
            <w:tcBorders>
              <w:bottom w:val="single" w:sz="4" w:space="0" w:color="auto"/>
            </w:tcBorders>
          </w:tcPr>
          <w:p w14:paraId="2130C5C3" w14:textId="77777777" w:rsidR="00410C72" w:rsidRPr="00DB701C" w:rsidRDefault="00410C72" w:rsidP="00410C72">
            <w:pPr>
              <w:rPr>
                <w:rFonts w:ascii="Calibri" w:eastAsia="Times New Roman" w:hAnsi="Calibri" w:cs="Calibri"/>
                <w:sz w:val="16"/>
                <w:szCs w:val="16"/>
              </w:rPr>
            </w:pPr>
          </w:p>
          <w:p w14:paraId="5A15E199" w14:textId="2A038DE7" w:rsidR="00640D19" w:rsidRDefault="00640D19" w:rsidP="00640D19">
            <w:r>
              <w:t xml:space="preserve">During the webinar, some examples were provided for shifting language from a process focus to a user outcome focus (for example, using the phrase “advise and interact” instead of “reference”). </w:t>
            </w:r>
            <w:r w:rsidR="00DB701C">
              <w:t>Think about three</w:t>
            </w:r>
            <w:r>
              <w:t xml:space="preserve"> terms used in your library and how you could rephrase them to focus on user outcomes.   </w:t>
            </w:r>
          </w:p>
          <w:p w14:paraId="478CBB0A" w14:textId="147C9249" w:rsidR="00576BA3" w:rsidRDefault="00576BA3" w:rsidP="000C4D4D"/>
          <w:p w14:paraId="0A04BCFC" w14:textId="35217BE1" w:rsidR="00640D19" w:rsidRDefault="00DB701C" w:rsidP="000C4D4D">
            <w:r>
              <w:t>Term 1:</w:t>
            </w:r>
          </w:p>
          <w:p w14:paraId="609A27ED" w14:textId="77777777" w:rsidR="00275D14" w:rsidRDefault="00275D14" w:rsidP="000C4D4D"/>
          <w:p w14:paraId="38A4A53E" w14:textId="14C7256A" w:rsidR="00640D19" w:rsidRDefault="00640D19" w:rsidP="000C4D4D"/>
          <w:p w14:paraId="5D6C2444" w14:textId="13F3F280" w:rsidR="00640D19" w:rsidRDefault="00DB701C" w:rsidP="000C4D4D">
            <w:r>
              <w:t xml:space="preserve">Rephrasing option: </w:t>
            </w:r>
          </w:p>
          <w:p w14:paraId="77374982" w14:textId="77777777" w:rsidR="00640D19" w:rsidRDefault="00640D19" w:rsidP="000C4D4D"/>
          <w:p w14:paraId="6D4CEB93" w14:textId="00C271CE" w:rsidR="00640D19" w:rsidRDefault="00640D19" w:rsidP="000C4D4D"/>
          <w:p w14:paraId="3E94A3E2" w14:textId="77777777" w:rsidR="00275D14" w:rsidRDefault="00275D14" w:rsidP="000C4D4D"/>
          <w:p w14:paraId="1B7127BE" w14:textId="7121BD1B" w:rsidR="00DB701C" w:rsidRDefault="00DB701C" w:rsidP="000C4D4D">
            <w:r>
              <w:t>Term 2:</w:t>
            </w:r>
          </w:p>
          <w:p w14:paraId="3660A833" w14:textId="77777777" w:rsidR="00275D14" w:rsidRDefault="00275D14" w:rsidP="000C4D4D"/>
          <w:p w14:paraId="36A89601" w14:textId="7C8F6AF1" w:rsidR="00640D19" w:rsidRDefault="00640D19" w:rsidP="000C4D4D"/>
          <w:p w14:paraId="2506A3CD" w14:textId="0556702A" w:rsidR="00640D19" w:rsidRDefault="00DB701C" w:rsidP="000C4D4D">
            <w:r>
              <w:t>Rephrasing option:</w:t>
            </w:r>
          </w:p>
          <w:p w14:paraId="2A81ED65" w14:textId="77777777" w:rsidR="00640D19" w:rsidRDefault="00640D19" w:rsidP="000C4D4D"/>
          <w:p w14:paraId="04D5AE61" w14:textId="288D0BC8" w:rsidR="00640D19" w:rsidRDefault="00640D19" w:rsidP="000C4D4D"/>
          <w:p w14:paraId="4609CB20" w14:textId="77777777" w:rsidR="00275D14" w:rsidRDefault="00275D14" w:rsidP="000C4D4D"/>
          <w:p w14:paraId="321B7E87" w14:textId="13D244F9" w:rsidR="00DB701C" w:rsidRDefault="00DB701C" w:rsidP="000C4D4D">
            <w:r>
              <w:t>Term 3:</w:t>
            </w:r>
          </w:p>
          <w:p w14:paraId="04ACB829" w14:textId="77777777" w:rsidR="00275D14" w:rsidRDefault="00275D14" w:rsidP="000C4D4D"/>
          <w:p w14:paraId="35513D57" w14:textId="08AB113E" w:rsidR="00640D19" w:rsidRDefault="00640D19" w:rsidP="000C4D4D"/>
          <w:p w14:paraId="104796CF" w14:textId="499DC639" w:rsidR="00640D19" w:rsidRDefault="00DB701C" w:rsidP="000C4D4D">
            <w:r>
              <w:t>Rephrasing option:</w:t>
            </w:r>
          </w:p>
          <w:p w14:paraId="287822DF" w14:textId="23DE9F27" w:rsidR="00576BA3" w:rsidRDefault="00576BA3" w:rsidP="000C4D4D"/>
          <w:p w14:paraId="5BCDCA55" w14:textId="14FA89FD" w:rsidR="000C4D4D" w:rsidRDefault="000C4D4D" w:rsidP="000C4D4D">
            <w:pPr>
              <w:rPr>
                <w:noProof/>
              </w:rPr>
            </w:pPr>
          </w:p>
          <w:p w14:paraId="6A8C6F0C" w14:textId="77777777" w:rsidR="00275D14" w:rsidRDefault="00275D14" w:rsidP="000C4D4D">
            <w:pPr>
              <w:rPr>
                <w:noProof/>
              </w:rPr>
            </w:pPr>
          </w:p>
          <w:p w14:paraId="58CF7E72" w14:textId="1117DEDF" w:rsidR="00275D14" w:rsidRPr="00C70DC4" w:rsidRDefault="00275D14" w:rsidP="000C4D4D">
            <w:pPr>
              <w:rPr>
                <w:noProof/>
              </w:rPr>
            </w:pPr>
          </w:p>
        </w:tc>
      </w:tr>
      <w:tr w:rsidR="00FA06FF" w:rsidRPr="001B40A2" w14:paraId="2786307C" w14:textId="77777777" w:rsidTr="00FD156D">
        <w:trPr>
          <w:trHeight w:val="530"/>
        </w:trPr>
        <w:tc>
          <w:tcPr>
            <w:tcW w:w="9558" w:type="dxa"/>
            <w:gridSpan w:val="2"/>
            <w:shd w:val="clear" w:color="auto" w:fill="31849B" w:themeFill="accent5" w:themeFillShade="BF"/>
            <w:vAlign w:val="center"/>
          </w:tcPr>
          <w:p w14:paraId="723CF4BF" w14:textId="3890BC04" w:rsidR="00FA06FF" w:rsidRPr="00FF2627" w:rsidRDefault="00640D19" w:rsidP="00FA06FF">
            <w:pPr>
              <w:spacing w:before="100" w:beforeAutospacing="1" w:after="100" w:afterAutospacing="1"/>
              <w:rPr>
                <w:b/>
                <w:iCs/>
                <w:color w:val="FFFFFF" w:themeColor="background1"/>
              </w:rPr>
            </w:pPr>
            <w:r>
              <w:rPr>
                <w:b/>
                <w:color w:val="FFFFFF" w:themeColor="background1"/>
              </w:rPr>
              <w:lastRenderedPageBreak/>
              <w:t>Stakeholder Priorities</w:t>
            </w:r>
          </w:p>
        </w:tc>
      </w:tr>
      <w:tr w:rsidR="00FA06FF" w:rsidRPr="001B40A2" w14:paraId="34C271C3" w14:textId="77777777" w:rsidTr="00FA06FF">
        <w:trPr>
          <w:trHeight w:val="638"/>
        </w:trPr>
        <w:tc>
          <w:tcPr>
            <w:tcW w:w="9558" w:type="dxa"/>
            <w:gridSpan w:val="2"/>
            <w:shd w:val="clear" w:color="auto" w:fill="auto"/>
          </w:tcPr>
          <w:p w14:paraId="79877D25" w14:textId="1AF22BB2" w:rsidR="00181B74" w:rsidRPr="00DB701C" w:rsidRDefault="00181B74" w:rsidP="00181B74">
            <w:pPr>
              <w:rPr>
                <w:rFonts w:ascii="Calibri" w:eastAsia="Times New Roman" w:hAnsi="Calibri" w:cs="Calibri"/>
                <w:sz w:val="16"/>
                <w:szCs w:val="16"/>
              </w:rPr>
            </w:pPr>
          </w:p>
          <w:p w14:paraId="7C171338" w14:textId="19BD4567" w:rsidR="00640D19" w:rsidRDefault="00640D19" w:rsidP="00640D19">
            <w:r>
              <w:t xml:space="preserve">List three of your library’s stakeholders and identify some of their top priorities. Based on these priorities, what measures do you think would be most meaningful to them? </w:t>
            </w:r>
          </w:p>
          <w:p w14:paraId="5782FDA4" w14:textId="413E00FB" w:rsidR="00CA3FE3" w:rsidRDefault="00CA3FE3" w:rsidP="00181B74"/>
          <w:p w14:paraId="601F4097" w14:textId="689F1D4A" w:rsidR="00640D19" w:rsidRDefault="00640D19" w:rsidP="00275D14">
            <w:pPr>
              <w:spacing w:after="240" w:line="360" w:lineRule="auto"/>
            </w:pPr>
            <w:r>
              <w:t>Stakeholder 1:</w:t>
            </w:r>
          </w:p>
          <w:p w14:paraId="56E9AA44" w14:textId="77777777" w:rsidR="00640D19" w:rsidRDefault="00640D19" w:rsidP="00275D14">
            <w:pPr>
              <w:spacing w:after="240" w:line="360" w:lineRule="auto"/>
            </w:pPr>
            <w:r>
              <w:t>Priority:</w:t>
            </w:r>
          </w:p>
          <w:p w14:paraId="38A5C945" w14:textId="7434038F" w:rsidR="00640D19" w:rsidRDefault="00640D19" w:rsidP="00275D14">
            <w:pPr>
              <w:spacing w:after="240" w:line="360" w:lineRule="auto"/>
            </w:pPr>
            <w:r>
              <w:t>Measures that Matter:</w:t>
            </w:r>
          </w:p>
          <w:p w14:paraId="7D136ECC" w14:textId="0A797053" w:rsidR="00640D19" w:rsidRDefault="00410C72" w:rsidP="00275D14">
            <w:pPr>
              <w:spacing w:after="240" w:line="360" w:lineRule="auto"/>
            </w:pPr>
            <w:r>
              <w:br/>
            </w:r>
            <w:r w:rsidR="00640D19">
              <w:t>Stakeholder 2:</w:t>
            </w:r>
          </w:p>
          <w:p w14:paraId="72B78DD2" w14:textId="77777777" w:rsidR="00640D19" w:rsidRDefault="00640D19" w:rsidP="00275D14">
            <w:pPr>
              <w:spacing w:after="240" w:line="360" w:lineRule="auto"/>
            </w:pPr>
            <w:r>
              <w:t>Priority:</w:t>
            </w:r>
          </w:p>
          <w:p w14:paraId="6EF7B87A" w14:textId="50E81697" w:rsidR="00640D19" w:rsidRDefault="00640D19" w:rsidP="00275D14">
            <w:pPr>
              <w:spacing w:after="240" w:line="360" w:lineRule="auto"/>
            </w:pPr>
            <w:r>
              <w:t>Measures that Matter:</w:t>
            </w:r>
          </w:p>
          <w:p w14:paraId="497B1D69" w14:textId="2F63AD3D" w:rsidR="00640D19" w:rsidRDefault="00DB701C" w:rsidP="00275D14">
            <w:pPr>
              <w:spacing w:after="240" w:line="360" w:lineRule="auto"/>
            </w:pPr>
            <w:r>
              <w:br/>
            </w:r>
            <w:r w:rsidR="00640D19">
              <w:t>Stakeholder 3:</w:t>
            </w:r>
          </w:p>
          <w:p w14:paraId="27B7AD73" w14:textId="77777777" w:rsidR="00640D19" w:rsidRDefault="00640D19" w:rsidP="00275D14">
            <w:pPr>
              <w:spacing w:after="240" w:line="360" w:lineRule="auto"/>
            </w:pPr>
            <w:r>
              <w:t>Priority:</w:t>
            </w:r>
          </w:p>
          <w:p w14:paraId="1678D650" w14:textId="06623CAF" w:rsidR="00FD156D" w:rsidRPr="00410C72" w:rsidRDefault="00640D19" w:rsidP="00275D14">
            <w:pPr>
              <w:spacing w:after="240" w:line="360" w:lineRule="auto"/>
            </w:pPr>
            <w:r>
              <w:t>Measures that Matter:</w:t>
            </w:r>
            <w:r w:rsidR="00FD156D">
              <w:br/>
            </w:r>
          </w:p>
        </w:tc>
      </w:tr>
      <w:tr w:rsidR="00275D14" w14:paraId="32F5F0C4" w14:textId="77777777" w:rsidTr="00275D14">
        <w:trPr>
          <w:trHeight w:val="638"/>
        </w:trPr>
        <w:tc>
          <w:tcPr>
            <w:tcW w:w="9558" w:type="dxa"/>
            <w:gridSpan w:val="2"/>
            <w:shd w:val="clear" w:color="auto" w:fill="31849B"/>
            <w:vAlign w:val="center"/>
          </w:tcPr>
          <w:p w14:paraId="648DE779" w14:textId="685B27B1" w:rsidR="00275D14" w:rsidRDefault="00275D14" w:rsidP="00275D14">
            <w:pPr>
              <w:spacing w:before="100" w:beforeAutospacing="1" w:after="100" w:afterAutospacing="1"/>
              <w:rPr>
                <w:b/>
                <w:color w:val="FFFFFF" w:themeColor="background1"/>
              </w:rPr>
            </w:pPr>
            <w:r w:rsidRPr="00275D14">
              <w:rPr>
                <w:b/>
                <w:color w:val="FFFFFF" w:themeColor="background1"/>
              </w:rPr>
              <w:t>Action Plan: (include next steps, who, when, etc.)</w:t>
            </w:r>
          </w:p>
        </w:tc>
      </w:tr>
      <w:tr w:rsidR="00275D14" w:rsidRPr="00257AB7" w14:paraId="5404E0F8" w14:textId="77777777" w:rsidTr="00275D14">
        <w:trPr>
          <w:trHeight w:val="1070"/>
        </w:trPr>
        <w:tc>
          <w:tcPr>
            <w:tcW w:w="9558" w:type="dxa"/>
            <w:gridSpan w:val="2"/>
          </w:tcPr>
          <w:p w14:paraId="4B0CE470" w14:textId="12EEC809" w:rsidR="00275D14" w:rsidRDefault="00275D14" w:rsidP="00934354">
            <w:pPr>
              <w:rPr>
                <w:noProof/>
              </w:rPr>
            </w:pPr>
          </w:p>
          <w:p w14:paraId="48A488F5" w14:textId="77777777" w:rsidR="00275D14" w:rsidRDefault="00275D14" w:rsidP="00934354">
            <w:pPr>
              <w:rPr>
                <w:noProof/>
              </w:rPr>
            </w:pPr>
          </w:p>
          <w:p w14:paraId="6B270AE6" w14:textId="77777777" w:rsidR="00275D14" w:rsidRDefault="00275D14" w:rsidP="00934354">
            <w:pPr>
              <w:rPr>
                <w:noProof/>
              </w:rPr>
            </w:pPr>
          </w:p>
          <w:p w14:paraId="53DA08F9" w14:textId="77777777" w:rsidR="00275D14" w:rsidRDefault="00275D14" w:rsidP="00934354">
            <w:pPr>
              <w:rPr>
                <w:noProof/>
              </w:rPr>
            </w:pPr>
          </w:p>
          <w:p w14:paraId="6E971631" w14:textId="77777777" w:rsidR="00275D14" w:rsidRDefault="00275D14" w:rsidP="00934354">
            <w:pPr>
              <w:rPr>
                <w:noProof/>
              </w:rPr>
            </w:pPr>
          </w:p>
          <w:p w14:paraId="3BF58903" w14:textId="2A288EB3" w:rsidR="00275D14" w:rsidRDefault="00275D14" w:rsidP="00934354">
            <w:pPr>
              <w:rPr>
                <w:b/>
                <w:noProof/>
              </w:rPr>
            </w:pPr>
            <w:bookmarkStart w:id="0" w:name="_GoBack"/>
            <w:bookmarkEnd w:id="0"/>
          </w:p>
          <w:p w14:paraId="5596015E" w14:textId="77777777" w:rsidR="00275D14" w:rsidRDefault="00275D14" w:rsidP="00934354">
            <w:pPr>
              <w:rPr>
                <w:b/>
                <w:noProof/>
              </w:rPr>
            </w:pPr>
          </w:p>
          <w:p w14:paraId="76BF65B6" w14:textId="77777777" w:rsidR="00275D14" w:rsidRDefault="00275D14" w:rsidP="00934354">
            <w:pPr>
              <w:rPr>
                <w:b/>
                <w:noProof/>
              </w:rPr>
            </w:pPr>
          </w:p>
          <w:p w14:paraId="27ADECE8" w14:textId="77777777" w:rsidR="00275D14" w:rsidRDefault="00275D14" w:rsidP="00934354">
            <w:pPr>
              <w:rPr>
                <w:b/>
                <w:noProof/>
              </w:rPr>
            </w:pPr>
          </w:p>
          <w:p w14:paraId="56664870" w14:textId="77777777" w:rsidR="00275D14" w:rsidRDefault="00275D14" w:rsidP="00934354">
            <w:pPr>
              <w:rPr>
                <w:b/>
                <w:noProof/>
              </w:rPr>
            </w:pPr>
          </w:p>
          <w:p w14:paraId="2CF5C775" w14:textId="77777777" w:rsidR="00275D14" w:rsidRDefault="00275D14" w:rsidP="00934354">
            <w:pPr>
              <w:rPr>
                <w:b/>
                <w:noProof/>
              </w:rPr>
            </w:pPr>
          </w:p>
          <w:p w14:paraId="773FCFEC" w14:textId="6833E6C2" w:rsidR="00275D14" w:rsidRDefault="00275D14" w:rsidP="00934354">
            <w:pPr>
              <w:rPr>
                <w:color w:val="1F497D"/>
              </w:rPr>
            </w:pPr>
            <w:r w:rsidRPr="00257AB7">
              <w:rPr>
                <w:b/>
              </w:rPr>
              <w:t>We want to hear from you!</w:t>
            </w:r>
            <w:r w:rsidRPr="00257AB7">
              <w:t xml:space="preserve"> Please send any comments or questions about Measures that Matter to </w:t>
            </w:r>
            <w:hyperlink r:id="rId12" w:history="1">
              <w:r>
                <w:rPr>
                  <w:rStyle w:val="Hyperlink"/>
                </w:rPr>
                <w:t>info@cosla.org</w:t>
              </w:r>
            </w:hyperlink>
            <w:r w:rsidRPr="00257AB7">
              <w:t xml:space="preserve">. </w:t>
            </w:r>
          </w:p>
          <w:p w14:paraId="661879C8" w14:textId="77777777" w:rsidR="00275D14" w:rsidRPr="00257AB7" w:rsidRDefault="00275D14" w:rsidP="00934354">
            <w:pPr>
              <w:rPr>
                <w:color w:val="1F497D"/>
              </w:rPr>
            </w:pPr>
          </w:p>
        </w:tc>
      </w:tr>
    </w:tbl>
    <w:p w14:paraId="6A30D3EA" w14:textId="77777777" w:rsidR="000D302A" w:rsidRPr="00410C72" w:rsidRDefault="000D302A" w:rsidP="00410C72"/>
    <w:sectPr w:rsidR="000D302A" w:rsidRPr="00410C72" w:rsidSect="008F03E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B2546A" w14:textId="77777777" w:rsidR="00002DCB" w:rsidRDefault="00002DCB" w:rsidP="0071561B">
      <w:pPr>
        <w:spacing w:after="0" w:line="240" w:lineRule="auto"/>
      </w:pPr>
      <w:r>
        <w:separator/>
      </w:r>
    </w:p>
  </w:endnote>
  <w:endnote w:type="continuationSeparator" w:id="0">
    <w:p w14:paraId="546B8632" w14:textId="77777777" w:rsidR="00002DCB" w:rsidRDefault="00002DCB"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5646A" w14:textId="77777777" w:rsidR="00002DCB" w:rsidRDefault="00002DCB" w:rsidP="0071561B">
      <w:pPr>
        <w:spacing w:after="0" w:line="240" w:lineRule="auto"/>
      </w:pPr>
      <w:r>
        <w:separator/>
      </w:r>
    </w:p>
  </w:footnote>
  <w:footnote w:type="continuationSeparator" w:id="0">
    <w:p w14:paraId="63F3F5D2" w14:textId="77777777" w:rsidR="00002DCB" w:rsidRDefault="00002DCB" w:rsidP="00715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5"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8"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4"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1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8"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6"/>
  </w:num>
  <w:num w:numId="6">
    <w:abstractNumId w:val="0"/>
  </w:num>
  <w:num w:numId="7">
    <w:abstractNumId w:val="4"/>
  </w:num>
  <w:num w:numId="8">
    <w:abstractNumId w:val="17"/>
  </w:num>
  <w:num w:numId="9">
    <w:abstractNumId w:val="11"/>
  </w:num>
  <w:num w:numId="10">
    <w:abstractNumId w:val="1"/>
  </w:num>
  <w:num w:numId="11">
    <w:abstractNumId w:val="3"/>
  </w:num>
  <w:num w:numId="12">
    <w:abstractNumId w:val="7"/>
  </w:num>
  <w:num w:numId="13">
    <w:abstractNumId w:val="13"/>
  </w:num>
  <w:num w:numId="14">
    <w:abstractNumId w:val="16"/>
  </w:num>
  <w:num w:numId="15">
    <w:abstractNumId w:val="2"/>
  </w:num>
  <w:num w:numId="16">
    <w:abstractNumId w:val="14"/>
  </w:num>
  <w:num w:numId="17">
    <w:abstractNumId w:val="9"/>
  </w:num>
  <w:num w:numId="18">
    <w:abstractNumId w:val="18"/>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2DCB"/>
    <w:rsid w:val="00004B5D"/>
    <w:rsid w:val="00005AE2"/>
    <w:rsid w:val="0000720B"/>
    <w:rsid w:val="000338D6"/>
    <w:rsid w:val="00034DE7"/>
    <w:rsid w:val="000369F8"/>
    <w:rsid w:val="00045800"/>
    <w:rsid w:val="00047B22"/>
    <w:rsid w:val="00071C22"/>
    <w:rsid w:val="00090017"/>
    <w:rsid w:val="000B35E2"/>
    <w:rsid w:val="000B7DF2"/>
    <w:rsid w:val="000C4D4D"/>
    <w:rsid w:val="000D302A"/>
    <w:rsid w:val="000E1759"/>
    <w:rsid w:val="000F293A"/>
    <w:rsid w:val="001105DD"/>
    <w:rsid w:val="00133BB6"/>
    <w:rsid w:val="00145243"/>
    <w:rsid w:val="00147C79"/>
    <w:rsid w:val="001547E5"/>
    <w:rsid w:val="00157690"/>
    <w:rsid w:val="00181B74"/>
    <w:rsid w:val="001C7229"/>
    <w:rsid w:val="001D0C20"/>
    <w:rsid w:val="001E7442"/>
    <w:rsid w:val="00204D72"/>
    <w:rsid w:val="00207A18"/>
    <w:rsid w:val="00241403"/>
    <w:rsid w:val="00243649"/>
    <w:rsid w:val="00257AB7"/>
    <w:rsid w:val="00265C9D"/>
    <w:rsid w:val="00275D14"/>
    <w:rsid w:val="002B4E44"/>
    <w:rsid w:val="002E67B5"/>
    <w:rsid w:val="0037285C"/>
    <w:rsid w:val="003872E7"/>
    <w:rsid w:val="003B63FE"/>
    <w:rsid w:val="003C2047"/>
    <w:rsid w:val="003D3A8F"/>
    <w:rsid w:val="00400762"/>
    <w:rsid w:val="0040076B"/>
    <w:rsid w:val="00410C72"/>
    <w:rsid w:val="004337BE"/>
    <w:rsid w:val="004367FC"/>
    <w:rsid w:val="00482F9C"/>
    <w:rsid w:val="004B27CB"/>
    <w:rsid w:val="004E6F4A"/>
    <w:rsid w:val="00517D72"/>
    <w:rsid w:val="00523EA2"/>
    <w:rsid w:val="00560CCE"/>
    <w:rsid w:val="0056137C"/>
    <w:rsid w:val="00565D92"/>
    <w:rsid w:val="00576BA3"/>
    <w:rsid w:val="00580BF8"/>
    <w:rsid w:val="00590C90"/>
    <w:rsid w:val="005A6DBF"/>
    <w:rsid w:val="006121AB"/>
    <w:rsid w:val="00627565"/>
    <w:rsid w:val="00633A02"/>
    <w:rsid w:val="00640D19"/>
    <w:rsid w:val="00652686"/>
    <w:rsid w:val="006561D8"/>
    <w:rsid w:val="006636EC"/>
    <w:rsid w:val="00681BF6"/>
    <w:rsid w:val="00684A49"/>
    <w:rsid w:val="0069512A"/>
    <w:rsid w:val="006A15E8"/>
    <w:rsid w:val="006B7246"/>
    <w:rsid w:val="007120A7"/>
    <w:rsid w:val="00713367"/>
    <w:rsid w:val="0071561B"/>
    <w:rsid w:val="00731ECF"/>
    <w:rsid w:val="00742D07"/>
    <w:rsid w:val="007658AC"/>
    <w:rsid w:val="0077633D"/>
    <w:rsid w:val="00785C6A"/>
    <w:rsid w:val="007B3B82"/>
    <w:rsid w:val="007C7128"/>
    <w:rsid w:val="00805F2D"/>
    <w:rsid w:val="00856E11"/>
    <w:rsid w:val="008B3349"/>
    <w:rsid w:val="008C4BAD"/>
    <w:rsid w:val="00902983"/>
    <w:rsid w:val="00912E44"/>
    <w:rsid w:val="00924401"/>
    <w:rsid w:val="00935EC6"/>
    <w:rsid w:val="00936A6B"/>
    <w:rsid w:val="00950165"/>
    <w:rsid w:val="00981923"/>
    <w:rsid w:val="0099380A"/>
    <w:rsid w:val="0099601A"/>
    <w:rsid w:val="009B10CF"/>
    <w:rsid w:val="009B5309"/>
    <w:rsid w:val="009E0D52"/>
    <w:rsid w:val="00A20152"/>
    <w:rsid w:val="00A35C65"/>
    <w:rsid w:val="00A42EBA"/>
    <w:rsid w:val="00A83E41"/>
    <w:rsid w:val="00A867CE"/>
    <w:rsid w:val="00AA0665"/>
    <w:rsid w:val="00AA4353"/>
    <w:rsid w:val="00AC6FE9"/>
    <w:rsid w:val="00AD7046"/>
    <w:rsid w:val="00B02248"/>
    <w:rsid w:val="00B25218"/>
    <w:rsid w:val="00B2686D"/>
    <w:rsid w:val="00B343C2"/>
    <w:rsid w:val="00B62773"/>
    <w:rsid w:val="00B74730"/>
    <w:rsid w:val="00B83C15"/>
    <w:rsid w:val="00B91B33"/>
    <w:rsid w:val="00BA1F2A"/>
    <w:rsid w:val="00C1701A"/>
    <w:rsid w:val="00C34336"/>
    <w:rsid w:val="00C44B02"/>
    <w:rsid w:val="00C63649"/>
    <w:rsid w:val="00C70DC4"/>
    <w:rsid w:val="00C81275"/>
    <w:rsid w:val="00C82CE4"/>
    <w:rsid w:val="00CA3FE3"/>
    <w:rsid w:val="00CA61C6"/>
    <w:rsid w:val="00CE50BA"/>
    <w:rsid w:val="00CF3BA7"/>
    <w:rsid w:val="00D1325C"/>
    <w:rsid w:val="00D1763F"/>
    <w:rsid w:val="00D45D0D"/>
    <w:rsid w:val="00D54DE2"/>
    <w:rsid w:val="00D902EA"/>
    <w:rsid w:val="00DA3452"/>
    <w:rsid w:val="00DB701C"/>
    <w:rsid w:val="00DB7326"/>
    <w:rsid w:val="00DC3919"/>
    <w:rsid w:val="00DC50C6"/>
    <w:rsid w:val="00E038CE"/>
    <w:rsid w:val="00E12483"/>
    <w:rsid w:val="00E20818"/>
    <w:rsid w:val="00E22563"/>
    <w:rsid w:val="00E473C6"/>
    <w:rsid w:val="00E60C42"/>
    <w:rsid w:val="00E868EF"/>
    <w:rsid w:val="00EA7CFE"/>
    <w:rsid w:val="00F044AE"/>
    <w:rsid w:val="00F165EC"/>
    <w:rsid w:val="00F42F53"/>
    <w:rsid w:val="00F831AB"/>
    <w:rsid w:val="00FA0618"/>
    <w:rsid w:val="00FA06FF"/>
    <w:rsid w:val="00FB4925"/>
    <w:rsid w:val="00FD0854"/>
    <w:rsid w:val="00FD156D"/>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styleId="UnresolvedMention">
    <w:name w:val="Unresolved Mention"/>
    <w:basedOn w:val="DefaultParagraphFont"/>
    <w:uiPriority w:val="99"/>
    <w:semiHidden/>
    <w:unhideWhenUsed/>
    <w:rsid w:val="00A42E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measures-that-matter-3.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osl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munityindicators.net/projects" TargetMode="External"/><Relationship Id="rId5" Type="http://schemas.openxmlformats.org/officeDocument/2006/relationships/webSettings" Target="webSettings.xml"/><Relationship Id="rId10" Type="http://schemas.openxmlformats.org/officeDocument/2006/relationships/hyperlink" Target="https://www.sa2020.org/" TargetMode="External"/><Relationship Id="rId4" Type="http://schemas.openxmlformats.org/officeDocument/2006/relationships/settings" Target="settings.xml"/><Relationship Id="rId9" Type="http://schemas.openxmlformats.org/officeDocument/2006/relationships/hyperlink" Target="http://www.actrochest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7DDDA-815E-4177-9DB0-6EEA8714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2017-07-21T20:13:00Z</dcterms:created>
  <dcterms:modified xsi:type="dcterms:W3CDTF">2017-07-21T20:22:00Z</dcterms:modified>
</cp:coreProperties>
</file>