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2A21" w14:textId="77777777" w:rsidR="00E91D52" w:rsidRDefault="00E91D52" w:rsidP="00E91D52">
      <w:pPr>
        <w:spacing w:line="240" w:lineRule="auto"/>
        <w:contextualSpacing/>
        <w:rPr>
          <w:rFonts w:asciiTheme="majorHAnsi" w:eastAsiaTheme="majorEastAsia" w:hAnsiTheme="majorHAnsi" w:cstheme="majorBidi"/>
          <w:b/>
          <w:bCs/>
          <w:color w:val="365F91" w:themeColor="accent1" w:themeShade="BF"/>
          <w:sz w:val="28"/>
          <w:szCs w:val="28"/>
        </w:rPr>
      </w:pPr>
      <w:r w:rsidRPr="00E91D52">
        <w:rPr>
          <w:rFonts w:asciiTheme="majorHAnsi" w:eastAsiaTheme="majorEastAsia" w:hAnsiTheme="majorHAnsi" w:cstheme="majorBidi"/>
          <w:b/>
          <w:bCs/>
          <w:color w:val="365F91" w:themeColor="accent1" w:themeShade="BF"/>
          <w:sz w:val="28"/>
          <w:szCs w:val="28"/>
        </w:rPr>
        <w:t>Effective Online Outreach: Tools and Tactics for Connecting Communities and Collections</w:t>
      </w:r>
    </w:p>
    <w:p w14:paraId="3118E3D4" w14:textId="31481AE8" w:rsidR="00E91D52" w:rsidRPr="00E91D52" w:rsidRDefault="00AD6A23" w:rsidP="00E91D52">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E91D52" w:rsidRPr="000606E1">
          <w:rPr>
            <w:rStyle w:val="Hyperlink"/>
          </w:rPr>
          <w:t>http://www.webjunction.org/events/webjunction/effective-online-outreach.html</w:t>
        </w:r>
      </w:hyperlink>
      <w:r w:rsidR="00E91D52">
        <w:t xml:space="preserve">  </w:t>
      </w:r>
    </w:p>
    <w:p w14:paraId="12E46057" w14:textId="77777777" w:rsidR="00E91D52" w:rsidRDefault="008C4BAD" w:rsidP="00204D72">
      <w:pPr>
        <w:pStyle w:val="NormalWeb"/>
        <w:rPr>
          <w:rFonts w:asciiTheme="minorHAnsi" w:eastAsiaTheme="minorEastAsia" w:hAnsiTheme="minorHAnsi" w:cstheme="minorBid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E91D52" w:rsidRPr="00E91D52">
        <w:rPr>
          <w:rFonts w:asciiTheme="minorHAnsi" w:eastAsiaTheme="minorEastAsia" w:hAnsiTheme="minorHAnsi" w:cstheme="minorBidi"/>
          <w:sz w:val="22"/>
          <w:szCs w:val="22"/>
        </w:rPr>
        <w:t xml:space="preserve">How did a small two-person library capture national media attention, become a focus of high-profile museum exhibits, and generate 13 million views of its online photos in just a few years? They built on a framework of eight values to drive innovative services and greatly enhance the information-seeking experience of their users. With a combination of free and low-cost web tools, </w:t>
      </w:r>
      <w:proofErr w:type="gramStart"/>
      <w:r w:rsidR="00E91D52" w:rsidRPr="00E91D52">
        <w:rPr>
          <w:rFonts w:asciiTheme="minorHAnsi" w:eastAsiaTheme="minorEastAsia" w:hAnsiTheme="minorHAnsi" w:cstheme="minorBidi"/>
          <w:sz w:val="22"/>
          <w:szCs w:val="22"/>
        </w:rPr>
        <w:t>savvy</w:t>
      </w:r>
      <w:proofErr w:type="gramEnd"/>
      <w:r w:rsidR="00E91D52" w:rsidRPr="00E91D52">
        <w:rPr>
          <w:rFonts w:asciiTheme="minorHAnsi" w:eastAsiaTheme="minorEastAsia" w:hAnsiTheme="minorHAnsi" w:cstheme="minorBidi"/>
          <w:sz w:val="22"/>
          <w:szCs w:val="22"/>
        </w:rPr>
        <w:t xml:space="preserve"> marketing, and innovations borrowed from archives and museums, </w:t>
      </w:r>
      <w:proofErr w:type="spellStart"/>
      <w:r w:rsidR="00E91D52" w:rsidRPr="00E91D52">
        <w:rPr>
          <w:rFonts w:asciiTheme="minorHAnsi" w:eastAsiaTheme="minorEastAsia" w:hAnsiTheme="minorHAnsi" w:cstheme="minorBidi"/>
          <w:sz w:val="22"/>
          <w:szCs w:val="22"/>
        </w:rPr>
        <w:t>Kenn</w:t>
      </w:r>
      <w:proofErr w:type="spellEnd"/>
      <w:r w:rsidR="00E91D52" w:rsidRPr="00E91D52">
        <w:rPr>
          <w:rFonts w:asciiTheme="minorHAnsi" w:eastAsiaTheme="minorEastAsia" w:hAnsiTheme="minorHAnsi" w:cstheme="minorBidi"/>
          <w:sz w:val="22"/>
          <w:szCs w:val="22"/>
        </w:rPr>
        <w:t xml:space="preserve"> Bicknell embarked on an aggressive digitization and outreach program to push information out to his constituents in creative, engaging ways. Find inspiration and practical ideas that can breathe new life into your collections and keep libraries front and center in users' lives.</w:t>
      </w:r>
    </w:p>
    <w:p w14:paraId="0211977E" w14:textId="183AF4FF" w:rsidR="00D54DE2" w:rsidRPr="002E67B5" w:rsidRDefault="00204D72" w:rsidP="00204D72">
      <w:pPr>
        <w:pStyle w:val="NormalWeb"/>
        <w:rPr>
          <w:rFonts w:asciiTheme="minorHAnsi" w:hAnsiTheme="minorHAnsi"/>
          <w:sz w:val="22"/>
          <w:szCs w:val="22"/>
          <w:vertAlign w:val="subscript"/>
        </w:rPr>
      </w:pPr>
      <w:r w:rsidRPr="00204D72">
        <w:rPr>
          <w:rFonts w:asciiTheme="minorHAnsi" w:hAnsiTheme="minorHAnsi"/>
          <w:b/>
          <w:sz w:val="22"/>
          <w:szCs w:val="22"/>
        </w:rPr>
        <w:t>Presented by:</w:t>
      </w:r>
      <w:r w:rsidRPr="00204D72">
        <w:rPr>
          <w:rFonts w:asciiTheme="minorHAnsi" w:hAnsiTheme="minorHAnsi"/>
          <w:sz w:val="22"/>
          <w:szCs w:val="22"/>
        </w:rPr>
        <w:t xml:space="preserve"> </w:t>
      </w:r>
      <w:proofErr w:type="spellStart"/>
      <w:r w:rsidR="00E91D52" w:rsidRPr="00E91D52">
        <w:rPr>
          <w:rFonts w:asciiTheme="minorHAnsi" w:hAnsiTheme="minorHAnsi"/>
          <w:bCs/>
          <w:sz w:val="22"/>
          <w:szCs w:val="22"/>
        </w:rPr>
        <w:t>Kenn</w:t>
      </w:r>
      <w:proofErr w:type="spellEnd"/>
      <w:r w:rsidR="00E91D52" w:rsidRPr="00E91D52">
        <w:rPr>
          <w:rFonts w:asciiTheme="minorHAnsi" w:hAnsiTheme="minorHAnsi"/>
          <w:bCs/>
          <w:sz w:val="22"/>
          <w:szCs w:val="22"/>
        </w:rPr>
        <w:t xml:space="preserve"> Bicknell</w:t>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 xml:space="preserve">What are your goals for viewing this </w:t>
            </w:r>
            <w:proofErr w:type="gramStart"/>
            <w:r w:rsidRPr="00BD7B5B">
              <w:rPr>
                <w:b/>
                <w:color w:val="FFFFFF" w:themeColor="background1"/>
              </w:rPr>
              <w:t>webinar</w:t>
            </w:r>
            <w:proofErr w:type="gramEnd"/>
            <w:r w:rsidRPr="00BD7B5B">
              <w:rPr>
                <w:b/>
                <w:color w:val="FFFFFF" w:themeColor="background1"/>
              </w:rPr>
              <w:t>?</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2F2C52">
        <w:trPr>
          <w:trHeight w:val="638"/>
        </w:trPr>
        <w:tc>
          <w:tcPr>
            <w:tcW w:w="9558" w:type="dxa"/>
            <w:gridSpan w:val="2"/>
            <w:shd w:val="clear" w:color="auto" w:fill="31849B" w:themeFill="accent5" w:themeFillShade="BF"/>
            <w:vAlign w:val="bottom"/>
          </w:tcPr>
          <w:p w14:paraId="4E0BB4B7" w14:textId="4CF8FE1C" w:rsidR="00560CCE" w:rsidRPr="002A462D" w:rsidRDefault="002F2C52" w:rsidP="003D3A8F">
            <w:pPr>
              <w:spacing w:after="200" w:line="276" w:lineRule="auto"/>
              <w:rPr>
                <w:b/>
                <w:color w:val="FFFFFF" w:themeColor="background1"/>
              </w:rPr>
            </w:pPr>
            <w:r>
              <w:rPr>
                <w:b/>
                <w:color w:val="FFFFFF" w:themeColor="background1"/>
              </w:rPr>
              <w:t>Generative Values</w:t>
            </w:r>
          </w:p>
        </w:tc>
      </w:tr>
      <w:tr w:rsidR="00560CCE" w:rsidRPr="001B40A2" w14:paraId="4392BE79" w14:textId="77777777" w:rsidTr="00523EA2">
        <w:trPr>
          <w:trHeight w:val="638"/>
        </w:trPr>
        <w:tc>
          <w:tcPr>
            <w:tcW w:w="9558" w:type="dxa"/>
            <w:gridSpan w:val="2"/>
            <w:shd w:val="clear" w:color="auto" w:fill="auto"/>
            <w:vAlign w:val="center"/>
          </w:tcPr>
          <w:p w14:paraId="7B311006" w14:textId="77777777" w:rsidR="00D64E74" w:rsidRDefault="00D64E74" w:rsidP="00D64E74">
            <w:proofErr w:type="spellStart"/>
            <w:r>
              <w:t>Kenn</w:t>
            </w:r>
            <w:proofErr w:type="spellEnd"/>
            <w:r>
              <w:t xml:space="preserve"> presented these </w:t>
            </w:r>
            <w:hyperlink r:id="rId9" w:history="1">
              <w:r w:rsidR="00A4083B" w:rsidRPr="00D64E74">
                <w:rPr>
                  <w:rStyle w:val="Hyperlink"/>
                </w:rPr>
                <w:t>Better Than Free</w:t>
              </w:r>
            </w:hyperlink>
            <w:r w:rsidR="00A4083B">
              <w:t xml:space="preserve"> </w:t>
            </w:r>
            <w:r>
              <w:t>generative v</w:t>
            </w:r>
            <w:r w:rsidR="00A4083B">
              <w:t>alues</w:t>
            </w:r>
            <w:r>
              <w:t xml:space="preserve"> (</w:t>
            </w:r>
            <w:r w:rsidR="00A4083B" w:rsidRPr="00D64E74">
              <w:t>inspired by Kevin Kelly</w:t>
            </w:r>
            <w:r>
              <w:t>)</w:t>
            </w:r>
            <w:r w:rsidR="00A4083B">
              <w:t xml:space="preserve"> </w:t>
            </w:r>
            <w:proofErr w:type="gramStart"/>
            <w:r>
              <w:t>as a way to</w:t>
            </w:r>
            <w:proofErr w:type="gramEnd"/>
            <w:r>
              <w:t xml:space="preserve"> assess your library’s online outreach in today’s digital world.</w:t>
            </w:r>
          </w:p>
          <w:p w14:paraId="79BD9E78" w14:textId="77777777" w:rsidR="00D64E74" w:rsidRDefault="00D64E74" w:rsidP="00D64E74"/>
          <w:p w14:paraId="1E2B9163" w14:textId="6913FEF2" w:rsidR="00D64E74" w:rsidRDefault="00D64E74" w:rsidP="00D64E74">
            <w:r w:rsidRPr="004449A9">
              <w:rPr>
                <w:b/>
              </w:rPr>
              <w:t>What values inform how your library innovates or explores new tools and technology to connect users to collections?</w:t>
            </w:r>
            <w:r>
              <w:t xml:space="preserve"> </w:t>
            </w:r>
            <w:r w:rsidR="00AC41AD">
              <w:t xml:space="preserve">Check </w:t>
            </w:r>
            <w:r w:rsidR="004449A9">
              <w:t xml:space="preserve">the </w:t>
            </w:r>
            <w:r w:rsidR="00AC41AD">
              <w:t xml:space="preserve">values </w:t>
            </w:r>
            <w:r w:rsidR="004449A9">
              <w:t xml:space="preserve">that </w:t>
            </w:r>
            <w:r w:rsidR="00AC41AD">
              <w:t xml:space="preserve">you apply to current efforts, and circle those you’d like to prioritize for further exploration. Provide examples when applicable. </w:t>
            </w:r>
          </w:p>
          <w:p w14:paraId="029588B9" w14:textId="71D4AC38" w:rsidR="00034DE7" w:rsidRDefault="00034DE7" w:rsidP="00523EA2">
            <w:pPr>
              <w:spacing w:line="312" w:lineRule="auto"/>
            </w:pPr>
          </w:p>
          <w:p w14:paraId="29107E52" w14:textId="67308862" w:rsidR="006B2800" w:rsidRDefault="006B2800" w:rsidP="00AC41AD">
            <w:pPr>
              <w:pStyle w:val="ListParagraph"/>
              <w:numPr>
                <w:ilvl w:val="0"/>
                <w:numId w:val="21"/>
              </w:numPr>
              <w:spacing w:line="480" w:lineRule="auto"/>
            </w:pPr>
            <w:r>
              <w:t>Immediacy</w:t>
            </w:r>
          </w:p>
          <w:p w14:paraId="78CAE6B4" w14:textId="11B59454" w:rsidR="006B2800" w:rsidRDefault="006B2800" w:rsidP="00AC41AD">
            <w:pPr>
              <w:pStyle w:val="ListParagraph"/>
              <w:numPr>
                <w:ilvl w:val="0"/>
                <w:numId w:val="21"/>
              </w:numPr>
              <w:spacing w:line="480" w:lineRule="auto"/>
            </w:pPr>
            <w:r>
              <w:t>Personalization</w:t>
            </w:r>
          </w:p>
          <w:p w14:paraId="1B017C35" w14:textId="0F003DF6" w:rsidR="006B2800" w:rsidRDefault="006B2800" w:rsidP="00AC41AD">
            <w:pPr>
              <w:pStyle w:val="ListParagraph"/>
              <w:numPr>
                <w:ilvl w:val="0"/>
                <w:numId w:val="21"/>
              </w:numPr>
              <w:spacing w:line="480" w:lineRule="auto"/>
            </w:pPr>
            <w:r>
              <w:t>Interpretation</w:t>
            </w:r>
          </w:p>
          <w:p w14:paraId="2306B7A0" w14:textId="3C3DE297" w:rsidR="006B2800" w:rsidRDefault="006B2800" w:rsidP="00AC41AD">
            <w:pPr>
              <w:pStyle w:val="ListParagraph"/>
              <w:numPr>
                <w:ilvl w:val="0"/>
                <w:numId w:val="21"/>
              </w:numPr>
              <w:spacing w:line="480" w:lineRule="auto"/>
            </w:pPr>
            <w:r>
              <w:t>Embodiment</w:t>
            </w:r>
          </w:p>
          <w:p w14:paraId="53BF3BB5" w14:textId="4C710121" w:rsidR="006B2800" w:rsidRDefault="006B2800" w:rsidP="00AC41AD">
            <w:pPr>
              <w:pStyle w:val="ListParagraph"/>
              <w:numPr>
                <w:ilvl w:val="0"/>
                <w:numId w:val="21"/>
              </w:numPr>
              <w:spacing w:line="480" w:lineRule="auto"/>
            </w:pPr>
            <w:r>
              <w:t>Authenticity</w:t>
            </w:r>
          </w:p>
          <w:p w14:paraId="6A626CA3" w14:textId="0F9D3EC7" w:rsidR="006B2800" w:rsidRDefault="006B2800" w:rsidP="00AC41AD">
            <w:pPr>
              <w:pStyle w:val="ListParagraph"/>
              <w:numPr>
                <w:ilvl w:val="0"/>
                <w:numId w:val="21"/>
              </w:numPr>
              <w:spacing w:line="480" w:lineRule="auto"/>
            </w:pPr>
            <w:r>
              <w:t>Accessibility</w:t>
            </w:r>
          </w:p>
          <w:p w14:paraId="5CEE99E8" w14:textId="60544BC7" w:rsidR="006B2800" w:rsidRDefault="006B2800" w:rsidP="00AC41AD">
            <w:pPr>
              <w:pStyle w:val="ListParagraph"/>
              <w:numPr>
                <w:ilvl w:val="0"/>
                <w:numId w:val="21"/>
              </w:numPr>
              <w:spacing w:line="480" w:lineRule="auto"/>
            </w:pPr>
            <w:r>
              <w:t>Findability</w:t>
            </w:r>
          </w:p>
          <w:p w14:paraId="3C527D03" w14:textId="3E878318" w:rsidR="00CA3FE3" w:rsidRPr="00523EA2" w:rsidRDefault="006B2800" w:rsidP="00AC41AD">
            <w:pPr>
              <w:numPr>
                <w:ilvl w:val="0"/>
                <w:numId w:val="21"/>
              </w:numPr>
              <w:spacing w:line="480" w:lineRule="auto"/>
              <w:rPr>
                <w:noProof/>
              </w:rPr>
            </w:pPr>
            <w:r>
              <w:t>Patronage</w:t>
            </w:r>
          </w:p>
        </w:tc>
      </w:tr>
      <w:tr w:rsidR="000C4D4D" w:rsidRPr="001B40A2" w14:paraId="3331390D" w14:textId="77777777" w:rsidTr="00F04F4D">
        <w:trPr>
          <w:trHeight w:val="638"/>
        </w:trPr>
        <w:tc>
          <w:tcPr>
            <w:tcW w:w="9558" w:type="dxa"/>
            <w:gridSpan w:val="2"/>
            <w:shd w:val="clear" w:color="auto" w:fill="31849B" w:themeFill="accent5" w:themeFillShade="BF"/>
            <w:vAlign w:val="center"/>
          </w:tcPr>
          <w:p w14:paraId="018DACF7" w14:textId="0204A2E2" w:rsidR="000C4D4D" w:rsidRDefault="000670BC" w:rsidP="000C4D4D">
            <w:r>
              <w:rPr>
                <w:b/>
                <w:iCs/>
                <w:color w:val="FFFFFF" w:themeColor="background1"/>
              </w:rPr>
              <w:lastRenderedPageBreak/>
              <w:t>Aggregation and Dissemination</w:t>
            </w:r>
          </w:p>
        </w:tc>
      </w:tr>
      <w:tr w:rsidR="000C4D4D" w:rsidRPr="001B40A2" w14:paraId="4406515F" w14:textId="77777777" w:rsidTr="000C4D4D">
        <w:trPr>
          <w:trHeight w:val="638"/>
        </w:trPr>
        <w:tc>
          <w:tcPr>
            <w:tcW w:w="9558" w:type="dxa"/>
            <w:gridSpan w:val="2"/>
            <w:shd w:val="clear" w:color="auto" w:fill="auto"/>
            <w:vAlign w:val="center"/>
          </w:tcPr>
          <w:p w14:paraId="58231862" w14:textId="77777777" w:rsidR="00FA0618" w:rsidRDefault="00FA0618" w:rsidP="00902983"/>
          <w:p w14:paraId="20A85C19" w14:textId="714F823D" w:rsidR="005D1846" w:rsidRDefault="005D1846" w:rsidP="005D1846">
            <w:r>
              <w:t>In reviewing the tools and t</w:t>
            </w:r>
            <w:r w:rsidR="002F2C52">
              <w:t>actics</w:t>
            </w:r>
            <w:r>
              <w:t xml:space="preserve"> shared in the </w:t>
            </w:r>
            <w:proofErr w:type="gramStart"/>
            <w:r>
              <w:t>webinar</w:t>
            </w:r>
            <w:proofErr w:type="gramEnd"/>
            <w:r>
              <w:t xml:space="preserve">, discuss/consider </w:t>
            </w:r>
            <w:r w:rsidRPr="002F2C52">
              <w:rPr>
                <w:b/>
              </w:rPr>
              <w:t xml:space="preserve">new ways to approach aggregation and dissemination </w:t>
            </w:r>
            <w:r>
              <w:t xml:space="preserve">of news and information from and for your community. </w:t>
            </w:r>
            <w:r w:rsidR="002F2C52">
              <w:t>Name specific</w:t>
            </w:r>
            <w:r>
              <w:t xml:space="preserve"> user</w:t>
            </w:r>
            <w:r w:rsidR="002F2C52">
              <w:t xml:space="preserve"> populations</w:t>
            </w:r>
            <w:r>
              <w:t xml:space="preserve"> who would benefit from receiving curated news on a regular basis</w:t>
            </w:r>
            <w:r w:rsidR="002F2C52">
              <w:t>.</w:t>
            </w:r>
          </w:p>
          <w:p w14:paraId="494C87C9" w14:textId="180206C9" w:rsidR="005D1846" w:rsidRDefault="005D1846" w:rsidP="005D1846"/>
          <w:p w14:paraId="20CAFB8D" w14:textId="26212259" w:rsidR="005D1846" w:rsidRDefault="005D1846" w:rsidP="005D1846"/>
          <w:p w14:paraId="602F66CE" w14:textId="34484ADD" w:rsidR="005D1846" w:rsidRDefault="005D1846" w:rsidP="005D1846"/>
          <w:p w14:paraId="546CBCC0" w14:textId="423BAEBE" w:rsidR="002F2C52" w:rsidRDefault="002F2C52" w:rsidP="005D1846"/>
          <w:p w14:paraId="06AB7A2E" w14:textId="7B7AF14D" w:rsidR="002F2C52" w:rsidRDefault="002F2C52" w:rsidP="005D1846"/>
          <w:p w14:paraId="368818D3" w14:textId="77777777" w:rsidR="002F2C52" w:rsidRDefault="002F2C52" w:rsidP="005D1846"/>
          <w:p w14:paraId="782C02B3" w14:textId="77777777" w:rsidR="005D1846" w:rsidRDefault="005D1846" w:rsidP="000C4D4D"/>
          <w:p w14:paraId="2A40618F" w14:textId="7FB57F84" w:rsidR="000C4D4D" w:rsidRDefault="000C4D4D" w:rsidP="000C4D4D">
            <w:pPr>
              <w:rPr>
                <w:iCs/>
              </w:rPr>
            </w:pPr>
          </w:p>
          <w:p w14:paraId="5B5E1988" w14:textId="3324EA61" w:rsidR="000C4D4D" w:rsidRPr="000C4D4D" w:rsidRDefault="000C4D4D" w:rsidP="000C4D4D">
            <w:pPr>
              <w:rPr>
                <w:iCs/>
              </w:rPr>
            </w:pPr>
          </w:p>
        </w:tc>
      </w:tr>
      <w:tr w:rsidR="000C4D4D" w:rsidRPr="001B40A2" w14:paraId="08CBF6F8" w14:textId="77777777" w:rsidTr="00523EA2">
        <w:trPr>
          <w:trHeight w:val="638"/>
        </w:trPr>
        <w:tc>
          <w:tcPr>
            <w:tcW w:w="9558" w:type="dxa"/>
            <w:gridSpan w:val="2"/>
            <w:shd w:val="clear" w:color="auto" w:fill="31849B" w:themeFill="accent5" w:themeFillShade="BF"/>
            <w:vAlign w:val="center"/>
          </w:tcPr>
          <w:p w14:paraId="5B453340" w14:textId="20635D5D" w:rsidR="000C4D4D" w:rsidRPr="00FF2627" w:rsidRDefault="00AC41AD" w:rsidP="000C4D4D">
            <w:pPr>
              <w:spacing w:before="100" w:beforeAutospacing="1" w:after="100" w:afterAutospacing="1"/>
              <w:rPr>
                <w:b/>
                <w:color w:val="FFFFFF" w:themeColor="background1"/>
              </w:rPr>
            </w:pPr>
            <w:r>
              <w:rPr>
                <w:b/>
                <w:iCs/>
                <w:color w:val="FFFFFF" w:themeColor="background1"/>
              </w:rPr>
              <w:t>Collections</w:t>
            </w:r>
            <w:r w:rsidR="005D1846">
              <w:rPr>
                <w:b/>
                <w:iCs/>
                <w:color w:val="FFFFFF" w:themeColor="background1"/>
              </w:rPr>
              <w:t xml:space="preserve"> and Digital Resources</w:t>
            </w:r>
          </w:p>
        </w:tc>
      </w:tr>
      <w:tr w:rsidR="000C4D4D" w:rsidRPr="001B40A2" w14:paraId="2B32BBEC" w14:textId="77777777" w:rsidTr="00523EA2">
        <w:trPr>
          <w:trHeight w:val="1070"/>
        </w:trPr>
        <w:tc>
          <w:tcPr>
            <w:tcW w:w="9558" w:type="dxa"/>
            <w:gridSpan w:val="2"/>
            <w:tcBorders>
              <w:bottom w:val="single" w:sz="4" w:space="0" w:color="auto"/>
            </w:tcBorders>
          </w:tcPr>
          <w:p w14:paraId="7665C679" w14:textId="77777777" w:rsidR="00CA3FE3" w:rsidRDefault="00CA3FE3" w:rsidP="000C4D4D"/>
          <w:p w14:paraId="4F357BC8" w14:textId="3BAD013D" w:rsidR="004449A9" w:rsidRDefault="005D1846" w:rsidP="000C4D4D">
            <w:r>
              <w:t>How</w:t>
            </w:r>
            <w:r w:rsidR="00AC41AD" w:rsidRPr="00AC41AD">
              <w:t xml:space="preserve"> </w:t>
            </w:r>
            <w:r>
              <w:t>can</w:t>
            </w:r>
            <w:r w:rsidR="00AC41AD" w:rsidRPr="00AC41AD">
              <w:t xml:space="preserve"> you</w:t>
            </w:r>
            <w:r w:rsidR="004449A9">
              <w:t xml:space="preserve"> further</w:t>
            </w:r>
            <w:r w:rsidR="00AC41AD" w:rsidRPr="00AC41AD">
              <w:t xml:space="preserve"> </w:t>
            </w:r>
            <w:r w:rsidR="00AC41AD" w:rsidRPr="002F2C52">
              <w:rPr>
                <w:b/>
              </w:rPr>
              <w:t>promote digital resources</w:t>
            </w:r>
            <w:r w:rsidR="00AC41AD" w:rsidRPr="00AC41AD">
              <w:t xml:space="preserve"> via your website, social </w:t>
            </w:r>
            <w:proofErr w:type="gramStart"/>
            <w:r w:rsidR="00AC41AD" w:rsidRPr="00AC41AD">
              <w:t>media</w:t>
            </w:r>
            <w:proofErr w:type="gramEnd"/>
            <w:r w:rsidR="00AC41AD" w:rsidRPr="00AC41AD">
              <w:t xml:space="preserve"> or other channel? </w:t>
            </w:r>
          </w:p>
          <w:p w14:paraId="48F3FC4C" w14:textId="77777777" w:rsidR="004449A9" w:rsidRDefault="004449A9" w:rsidP="000C4D4D"/>
          <w:p w14:paraId="786634A5" w14:textId="77156509" w:rsidR="004449A9" w:rsidRDefault="004449A9" w:rsidP="000C4D4D"/>
          <w:p w14:paraId="0AD20F59" w14:textId="1B050BE2" w:rsidR="004449A9" w:rsidRDefault="004449A9" w:rsidP="000C4D4D"/>
          <w:p w14:paraId="2BA59BD1" w14:textId="0B577C0B" w:rsidR="004449A9" w:rsidRDefault="004449A9" w:rsidP="000C4D4D"/>
          <w:p w14:paraId="363E60AD" w14:textId="120FACE9" w:rsidR="004449A9" w:rsidRDefault="004449A9" w:rsidP="000C4D4D"/>
          <w:p w14:paraId="7E6914DF" w14:textId="77777777" w:rsidR="004449A9" w:rsidRDefault="004449A9" w:rsidP="000C4D4D"/>
          <w:p w14:paraId="13A1FDC6" w14:textId="48915525" w:rsidR="004449A9" w:rsidRDefault="004449A9" w:rsidP="000C4D4D"/>
          <w:p w14:paraId="0A7C3979" w14:textId="77777777" w:rsidR="004449A9" w:rsidRDefault="004449A9" w:rsidP="000C4D4D"/>
          <w:p w14:paraId="58F4AF66" w14:textId="77777777" w:rsidR="004449A9" w:rsidRDefault="004449A9" w:rsidP="000C4D4D">
            <w:r>
              <w:t>Are there</w:t>
            </w:r>
            <w:r w:rsidR="005D1846" w:rsidRPr="00AC41AD">
              <w:t xml:space="preserve"> resources in your collection that may b</w:t>
            </w:r>
            <w:r w:rsidR="005D1846">
              <w:t xml:space="preserve">e </w:t>
            </w:r>
            <w:r w:rsidR="005D1846" w:rsidRPr="002F2C52">
              <w:rPr>
                <w:b/>
              </w:rPr>
              <w:t>candidates for digitization</w:t>
            </w:r>
            <w:r w:rsidR="005D1846">
              <w:t xml:space="preserve">? </w:t>
            </w:r>
            <w:r w:rsidR="00AC41AD" w:rsidRPr="00AC41AD">
              <w:t xml:space="preserve"> </w:t>
            </w:r>
          </w:p>
          <w:p w14:paraId="30E07710" w14:textId="77777777" w:rsidR="004449A9" w:rsidRDefault="004449A9" w:rsidP="000C4D4D"/>
          <w:p w14:paraId="106AB526" w14:textId="5AB57FF1" w:rsidR="004449A9" w:rsidRDefault="004449A9" w:rsidP="000C4D4D"/>
          <w:p w14:paraId="7FFA2819" w14:textId="49636F6D" w:rsidR="004449A9" w:rsidRDefault="004449A9" w:rsidP="000C4D4D"/>
          <w:p w14:paraId="06B68FC7" w14:textId="2052B1FD" w:rsidR="004449A9" w:rsidRDefault="004449A9" w:rsidP="000C4D4D"/>
          <w:p w14:paraId="090A372E" w14:textId="67F39C53" w:rsidR="004449A9" w:rsidRDefault="004449A9" w:rsidP="000C4D4D"/>
          <w:p w14:paraId="07F3475A" w14:textId="77777777" w:rsidR="004449A9" w:rsidRDefault="004449A9" w:rsidP="000C4D4D"/>
          <w:p w14:paraId="6FA0CB74" w14:textId="06AA1489" w:rsidR="004449A9" w:rsidRDefault="004449A9" w:rsidP="000C4D4D"/>
          <w:p w14:paraId="45E274C1" w14:textId="77777777" w:rsidR="004449A9" w:rsidRDefault="004449A9" w:rsidP="000C4D4D"/>
          <w:p w14:paraId="654F65BF" w14:textId="77777777" w:rsidR="004449A9" w:rsidRDefault="004449A9" w:rsidP="000C4D4D"/>
          <w:p w14:paraId="2E8C625A" w14:textId="68B43B2F" w:rsidR="00576BA3" w:rsidRDefault="00AC41AD" w:rsidP="000C4D4D">
            <w:r w:rsidRPr="00AC41AD">
              <w:t xml:space="preserve">Can you leverage another program, </w:t>
            </w:r>
            <w:proofErr w:type="gramStart"/>
            <w:r w:rsidRPr="00AC41AD">
              <w:t>project</w:t>
            </w:r>
            <w:proofErr w:type="gramEnd"/>
            <w:r w:rsidRPr="00AC41AD">
              <w:t xml:space="preserve"> or event at your library as a springboard for </w:t>
            </w:r>
            <w:bookmarkStart w:id="0" w:name="_GoBack"/>
            <w:r w:rsidRPr="004449A9">
              <w:rPr>
                <w:b/>
              </w:rPr>
              <w:t xml:space="preserve">launching a new </w:t>
            </w:r>
            <w:r w:rsidR="002F2C52" w:rsidRPr="004449A9">
              <w:rPr>
                <w:b/>
              </w:rPr>
              <w:t xml:space="preserve">digital outreach </w:t>
            </w:r>
            <w:r w:rsidRPr="004449A9">
              <w:rPr>
                <w:b/>
              </w:rPr>
              <w:t>endeavor</w:t>
            </w:r>
            <w:bookmarkEnd w:id="0"/>
            <w:r w:rsidRPr="00AC41AD">
              <w:t>?</w:t>
            </w:r>
          </w:p>
          <w:p w14:paraId="114625E7" w14:textId="77777777" w:rsidR="00CA3FE3" w:rsidRDefault="00CA3FE3" w:rsidP="000C4D4D"/>
          <w:p w14:paraId="029FDEBC" w14:textId="250E6BE8" w:rsidR="004449A9" w:rsidRDefault="004449A9" w:rsidP="000C4D4D"/>
          <w:p w14:paraId="3FBFEEAD" w14:textId="41344574" w:rsidR="004449A9" w:rsidRDefault="004449A9" w:rsidP="000C4D4D"/>
          <w:p w14:paraId="0D594E7B" w14:textId="77777777" w:rsidR="004449A9" w:rsidRDefault="004449A9" w:rsidP="000C4D4D"/>
          <w:p w14:paraId="6742EC10" w14:textId="2E341372" w:rsidR="00243649" w:rsidRDefault="00243649" w:rsidP="000C4D4D"/>
          <w:p w14:paraId="1EDAC279" w14:textId="77777777" w:rsidR="004449A9" w:rsidRDefault="004449A9" w:rsidP="000C4D4D">
            <w:pPr>
              <w:rPr>
                <w:noProof/>
              </w:rPr>
            </w:pPr>
          </w:p>
          <w:p w14:paraId="462830E7" w14:textId="0EE8EC68" w:rsidR="00243649" w:rsidRDefault="00243649" w:rsidP="000C4D4D">
            <w:pPr>
              <w:rPr>
                <w:noProof/>
              </w:rPr>
            </w:pPr>
          </w:p>
          <w:p w14:paraId="18C20722" w14:textId="77777777" w:rsidR="00243649" w:rsidRDefault="00243649" w:rsidP="000C4D4D">
            <w:pPr>
              <w:rPr>
                <w:noProof/>
              </w:rPr>
            </w:pPr>
          </w:p>
          <w:p w14:paraId="58CF7E72" w14:textId="62EC3302" w:rsidR="000C4D4D" w:rsidRPr="00C70DC4" w:rsidRDefault="000C4D4D" w:rsidP="000C4D4D">
            <w:pPr>
              <w:rPr>
                <w:noProof/>
              </w:rPr>
            </w:pPr>
            <w:r>
              <w:rPr>
                <w:noProof/>
              </w:rPr>
              <w:t xml:space="preserve"> </w:t>
            </w: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772A7012" w:rsidR="00FA06FF" w:rsidRPr="00FF2627" w:rsidRDefault="005D1846" w:rsidP="00FA06FF">
            <w:pPr>
              <w:spacing w:before="100" w:beforeAutospacing="1" w:after="100" w:afterAutospacing="1"/>
              <w:rPr>
                <w:b/>
                <w:iCs/>
                <w:color w:val="FFFFFF" w:themeColor="background1"/>
              </w:rPr>
            </w:pPr>
            <w:r>
              <w:rPr>
                <w:b/>
                <w:color w:val="FFFFFF" w:themeColor="background1"/>
              </w:rPr>
              <w:lastRenderedPageBreak/>
              <w:t>Partners</w:t>
            </w:r>
          </w:p>
        </w:tc>
      </w:tr>
      <w:tr w:rsidR="00FA06FF" w:rsidRPr="001B40A2" w14:paraId="34C271C3" w14:textId="77777777" w:rsidTr="00FA06FF">
        <w:trPr>
          <w:trHeight w:val="638"/>
        </w:trPr>
        <w:tc>
          <w:tcPr>
            <w:tcW w:w="9558" w:type="dxa"/>
            <w:gridSpan w:val="2"/>
            <w:shd w:val="clear" w:color="auto" w:fill="auto"/>
          </w:tcPr>
          <w:p w14:paraId="79877D25" w14:textId="1AF22BB2" w:rsidR="00181B74" w:rsidRDefault="00181B74" w:rsidP="00181B74">
            <w:pPr>
              <w:rPr>
                <w:rFonts w:ascii="Calibri" w:eastAsia="Times New Roman" w:hAnsi="Calibri" w:cs="Calibri"/>
              </w:rPr>
            </w:pPr>
          </w:p>
          <w:p w14:paraId="05CD2FE2" w14:textId="5F5E008F" w:rsidR="00243649" w:rsidRDefault="005D1846" w:rsidP="00AC41AD">
            <w:r>
              <w:t xml:space="preserve">Brainstorm to </w:t>
            </w:r>
            <w:r w:rsidRPr="002F2C52">
              <w:rPr>
                <w:b/>
              </w:rPr>
              <w:t>identify</w:t>
            </w:r>
            <w:r w:rsidR="00AC41AD" w:rsidRPr="002F2C52">
              <w:rPr>
                <w:b/>
              </w:rPr>
              <w:t xml:space="preserve"> new partners</w:t>
            </w:r>
            <w:r w:rsidR="00AC41AD">
              <w:t xml:space="preserve"> in your community for strategic collaboration</w:t>
            </w:r>
            <w:r>
              <w:t xml:space="preserve">. Consider unlikely partners, and those from other sectors (museums, archives, academic institutions, local businesses). </w:t>
            </w:r>
            <w:r w:rsidR="002F2C52">
              <w:t xml:space="preserve">Invite potential partners to a discussion to explore </w:t>
            </w:r>
            <w:r w:rsidR="00AC41AD">
              <w:t>opportunities for win-win outcomes from a joint effort</w:t>
            </w:r>
            <w:r w:rsidR="002F2C52">
              <w:t>.</w:t>
            </w:r>
          </w:p>
          <w:p w14:paraId="3F54239C" w14:textId="77777777" w:rsidR="004449A9" w:rsidRDefault="004449A9" w:rsidP="004449A9">
            <w:pPr>
              <w:spacing w:line="720" w:lineRule="auto"/>
              <w:ind w:left="720"/>
            </w:pPr>
            <w:r>
              <w:t>1.</w:t>
            </w:r>
          </w:p>
          <w:p w14:paraId="19E6FD0D" w14:textId="77777777" w:rsidR="004449A9" w:rsidRDefault="004449A9" w:rsidP="004449A9">
            <w:pPr>
              <w:spacing w:line="720" w:lineRule="auto"/>
              <w:ind w:left="720"/>
            </w:pPr>
            <w:r>
              <w:t>2.</w:t>
            </w:r>
          </w:p>
          <w:p w14:paraId="4D86AC58" w14:textId="77777777" w:rsidR="004449A9" w:rsidRPr="00FF2627" w:rsidRDefault="004449A9" w:rsidP="004449A9">
            <w:pPr>
              <w:spacing w:line="720" w:lineRule="auto"/>
              <w:ind w:left="720"/>
            </w:pPr>
            <w:r>
              <w:t>3.</w:t>
            </w:r>
          </w:p>
          <w:p w14:paraId="428E96E4" w14:textId="77777777" w:rsidR="004449A9" w:rsidRDefault="004449A9" w:rsidP="004449A9">
            <w:pPr>
              <w:spacing w:line="720" w:lineRule="auto"/>
              <w:ind w:left="720"/>
              <w:rPr>
                <w:noProof/>
              </w:rPr>
            </w:pPr>
            <w:r>
              <w:rPr>
                <w:noProof/>
              </w:rPr>
              <w:t>4.</w:t>
            </w:r>
          </w:p>
          <w:p w14:paraId="733F8A62" w14:textId="77777777" w:rsidR="004449A9" w:rsidRPr="000D302A" w:rsidRDefault="004449A9" w:rsidP="004449A9">
            <w:pPr>
              <w:spacing w:line="720" w:lineRule="auto"/>
              <w:ind w:left="720"/>
              <w:rPr>
                <w:noProof/>
              </w:rPr>
            </w:pPr>
            <w:r>
              <w:rPr>
                <w:noProof/>
              </w:rPr>
              <w:t>5.</w:t>
            </w:r>
          </w:p>
          <w:p w14:paraId="1678D650" w14:textId="77777777" w:rsidR="00FA06FF" w:rsidRDefault="00FA06FF" w:rsidP="004449A9">
            <w:pPr>
              <w:rPr>
                <w:b/>
                <w:color w:val="FFFFFF" w:themeColor="background1"/>
              </w:rPr>
            </w:pPr>
          </w:p>
        </w:tc>
      </w:tr>
      <w:tr w:rsidR="00FA06FF" w:rsidRPr="001B40A2" w14:paraId="0061A046" w14:textId="77777777" w:rsidTr="00523EA2">
        <w:trPr>
          <w:trHeight w:val="638"/>
        </w:trPr>
        <w:tc>
          <w:tcPr>
            <w:tcW w:w="9558" w:type="dxa"/>
            <w:gridSpan w:val="2"/>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2"/>
          </w:tcPr>
          <w:p w14:paraId="3C4E575A" w14:textId="37CFE337" w:rsidR="00FA06FF" w:rsidRDefault="00FA06FF" w:rsidP="00FA06FF">
            <w:pPr>
              <w:rPr>
                <w:noProof/>
              </w:rPr>
            </w:pPr>
          </w:p>
          <w:p w14:paraId="3D3AFE06" w14:textId="393FF12F" w:rsidR="005D1846" w:rsidRDefault="005D1846" w:rsidP="005D1846">
            <w:pPr>
              <w:rPr>
                <w:iCs/>
              </w:rPr>
            </w:pPr>
            <w:r>
              <w:t xml:space="preserve">Identify </w:t>
            </w:r>
            <w:r w:rsidR="002F2C52">
              <w:t xml:space="preserve">at least </w:t>
            </w:r>
            <w:r>
              <w:t>one</w:t>
            </w:r>
            <w:r w:rsidRPr="00AC41AD">
              <w:t xml:space="preserve"> new direction for your </w:t>
            </w:r>
            <w:r w:rsidR="002F2C52">
              <w:t>library to</w:t>
            </w:r>
            <w:r w:rsidRPr="00AC41AD">
              <w:t xml:space="preserve"> promote collections in a new way</w:t>
            </w:r>
            <w:r w:rsidR="002F2C52">
              <w:t>!</w:t>
            </w:r>
          </w:p>
          <w:p w14:paraId="3D4C8FF2" w14:textId="77777777" w:rsidR="005D1846" w:rsidRDefault="005D1846" w:rsidP="00FA06FF">
            <w:pPr>
              <w:rPr>
                <w:noProof/>
              </w:rPr>
            </w:pPr>
          </w:p>
          <w:p w14:paraId="59036845" w14:textId="77777777" w:rsidR="00576BA3" w:rsidRDefault="00576BA3" w:rsidP="00FA06FF">
            <w:pPr>
              <w:rPr>
                <w:noProof/>
              </w:rPr>
            </w:pPr>
          </w:p>
          <w:p w14:paraId="66C2C4D3" w14:textId="77777777" w:rsidR="00576BA3" w:rsidRDefault="00576BA3" w:rsidP="00FA06FF">
            <w:pPr>
              <w:rPr>
                <w:noProof/>
              </w:rPr>
            </w:pPr>
          </w:p>
          <w:p w14:paraId="4E79F89C" w14:textId="77777777" w:rsidR="00576BA3" w:rsidRDefault="00576BA3" w:rsidP="00FA06FF">
            <w:pPr>
              <w:rPr>
                <w:noProof/>
              </w:rPr>
            </w:pPr>
          </w:p>
          <w:p w14:paraId="0C4AE00A" w14:textId="77777777" w:rsidR="00576BA3" w:rsidRDefault="00576BA3" w:rsidP="00FA06FF">
            <w:pPr>
              <w:rPr>
                <w:noProof/>
              </w:rPr>
            </w:pPr>
          </w:p>
          <w:p w14:paraId="174BFDFD" w14:textId="77777777" w:rsidR="00576BA3" w:rsidRDefault="00576BA3" w:rsidP="00FA06FF">
            <w:pPr>
              <w:rPr>
                <w:noProof/>
              </w:rPr>
            </w:pPr>
          </w:p>
          <w:p w14:paraId="26989D24" w14:textId="77777777" w:rsidR="00576BA3" w:rsidRDefault="00576BA3" w:rsidP="00FA06FF">
            <w:pPr>
              <w:rPr>
                <w:noProof/>
              </w:rPr>
            </w:pPr>
          </w:p>
          <w:p w14:paraId="3E4307C6" w14:textId="77777777" w:rsidR="00576BA3" w:rsidRDefault="00576BA3" w:rsidP="00FA06FF">
            <w:pPr>
              <w:rPr>
                <w:noProof/>
              </w:rPr>
            </w:pPr>
          </w:p>
          <w:p w14:paraId="60E6EA15" w14:textId="77777777" w:rsidR="00576BA3" w:rsidRDefault="00576BA3" w:rsidP="00FA06FF">
            <w:pPr>
              <w:rPr>
                <w:noProof/>
              </w:rPr>
            </w:pPr>
          </w:p>
          <w:p w14:paraId="77DD92FC" w14:textId="77777777" w:rsidR="00576BA3" w:rsidRDefault="00576BA3" w:rsidP="00FA06FF">
            <w:pPr>
              <w:rPr>
                <w:noProof/>
              </w:rPr>
            </w:pPr>
          </w:p>
          <w:p w14:paraId="234E6785" w14:textId="77777777" w:rsidR="00576BA3" w:rsidRDefault="00576BA3" w:rsidP="00FA06FF">
            <w:pPr>
              <w:rPr>
                <w:noProof/>
              </w:rPr>
            </w:pPr>
          </w:p>
          <w:p w14:paraId="4331E626" w14:textId="77777777" w:rsidR="00576BA3" w:rsidRDefault="00576BA3" w:rsidP="00FA06FF">
            <w:pPr>
              <w:rPr>
                <w:noProof/>
              </w:rPr>
            </w:pPr>
          </w:p>
          <w:p w14:paraId="6AB472D1" w14:textId="64927801" w:rsidR="00257AB7" w:rsidRDefault="00257AB7" w:rsidP="00FA06FF">
            <w:pPr>
              <w:rPr>
                <w:b/>
                <w:noProof/>
              </w:rPr>
            </w:pPr>
          </w:p>
          <w:p w14:paraId="17A5C3E9" w14:textId="4D5983F5" w:rsidR="00257AB7" w:rsidRDefault="00257AB7" w:rsidP="00FA06FF">
            <w:pPr>
              <w:rPr>
                <w:b/>
                <w:noProof/>
              </w:rPr>
            </w:pPr>
          </w:p>
          <w:p w14:paraId="7E281E53" w14:textId="64204B90" w:rsidR="00257AB7" w:rsidRDefault="00257AB7" w:rsidP="00FA06FF">
            <w:pPr>
              <w:rPr>
                <w:b/>
                <w:noProof/>
              </w:rPr>
            </w:pPr>
          </w:p>
          <w:p w14:paraId="45FFC56E" w14:textId="0045D8F1" w:rsidR="00257AB7" w:rsidRDefault="00257AB7" w:rsidP="00FA06FF">
            <w:pPr>
              <w:rPr>
                <w:b/>
                <w:noProof/>
              </w:rPr>
            </w:pPr>
          </w:p>
          <w:p w14:paraId="12A05013" w14:textId="2B2C9710" w:rsidR="00257AB7" w:rsidRDefault="00257AB7" w:rsidP="00FA06FF">
            <w:pPr>
              <w:rPr>
                <w:b/>
                <w:noProof/>
              </w:rPr>
            </w:pPr>
          </w:p>
          <w:p w14:paraId="68ABFE75" w14:textId="294DC305" w:rsidR="00257AB7" w:rsidRDefault="00257AB7" w:rsidP="00FA06FF">
            <w:pPr>
              <w:rPr>
                <w:b/>
                <w:noProof/>
              </w:rPr>
            </w:pPr>
          </w:p>
          <w:p w14:paraId="273F5B9A" w14:textId="77777777" w:rsidR="00257AB7" w:rsidRDefault="00257AB7" w:rsidP="00FA06FF">
            <w:pPr>
              <w:rPr>
                <w:b/>
                <w:noProof/>
              </w:rPr>
            </w:pPr>
          </w:p>
          <w:p w14:paraId="57DAB1CB" w14:textId="5EFE170C" w:rsidR="00257AB7" w:rsidRPr="00257AB7" w:rsidRDefault="00257AB7" w:rsidP="00837C38">
            <w:pPr>
              <w:rPr>
                <w:color w:val="1F497D"/>
              </w:rPr>
            </w:pPr>
          </w:p>
        </w:tc>
      </w:tr>
    </w:tbl>
    <w:p w14:paraId="6552EC76" w14:textId="77777777" w:rsidR="000D302A" w:rsidRDefault="000D302A"/>
    <w:sectPr w:rsidR="000D302A" w:rsidSect="008F03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8E7C8" w14:textId="77777777" w:rsidR="00AD6A23" w:rsidRDefault="00AD6A23" w:rsidP="0071561B">
      <w:pPr>
        <w:spacing w:after="0" w:line="240" w:lineRule="auto"/>
      </w:pPr>
      <w:r>
        <w:separator/>
      </w:r>
    </w:p>
  </w:endnote>
  <w:endnote w:type="continuationSeparator" w:id="0">
    <w:p w14:paraId="0CABEB6C" w14:textId="77777777" w:rsidR="00AD6A23" w:rsidRDefault="00AD6A23"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E9C11" w14:textId="77777777" w:rsidR="00AD6A23" w:rsidRDefault="00AD6A23" w:rsidP="0071561B">
      <w:pPr>
        <w:spacing w:after="0" w:line="240" w:lineRule="auto"/>
      </w:pPr>
      <w:r>
        <w:separator/>
      </w:r>
    </w:p>
  </w:footnote>
  <w:footnote w:type="continuationSeparator" w:id="0">
    <w:p w14:paraId="6417FB38" w14:textId="77777777" w:rsidR="00AD6A23" w:rsidRDefault="00AD6A23"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9"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5"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8"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9"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0"/>
  </w:num>
  <w:num w:numId="7">
    <w:abstractNumId w:val="4"/>
  </w:num>
  <w:num w:numId="8">
    <w:abstractNumId w:val="18"/>
  </w:num>
  <w:num w:numId="9">
    <w:abstractNumId w:val="12"/>
  </w:num>
  <w:num w:numId="10">
    <w:abstractNumId w:val="1"/>
  </w:num>
  <w:num w:numId="11">
    <w:abstractNumId w:val="3"/>
  </w:num>
  <w:num w:numId="12">
    <w:abstractNumId w:val="8"/>
  </w:num>
  <w:num w:numId="13">
    <w:abstractNumId w:val="14"/>
  </w:num>
  <w:num w:numId="14">
    <w:abstractNumId w:val="17"/>
  </w:num>
  <w:num w:numId="15">
    <w:abstractNumId w:val="2"/>
  </w:num>
  <w:num w:numId="16">
    <w:abstractNumId w:val="15"/>
  </w:num>
  <w:num w:numId="17">
    <w:abstractNumId w:val="10"/>
  </w:num>
  <w:num w:numId="18">
    <w:abstractNumId w:val="19"/>
  </w:num>
  <w:num w:numId="19">
    <w:abstractNumId w:val="11"/>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4B5D"/>
    <w:rsid w:val="00005AE2"/>
    <w:rsid w:val="0000720B"/>
    <w:rsid w:val="000338D6"/>
    <w:rsid w:val="00034DE7"/>
    <w:rsid w:val="000369F8"/>
    <w:rsid w:val="00045800"/>
    <w:rsid w:val="00047B22"/>
    <w:rsid w:val="000670BC"/>
    <w:rsid w:val="00071C22"/>
    <w:rsid w:val="00084612"/>
    <w:rsid w:val="000B35E2"/>
    <w:rsid w:val="000B7DF2"/>
    <w:rsid w:val="000C4D4D"/>
    <w:rsid w:val="000D302A"/>
    <w:rsid w:val="000F293A"/>
    <w:rsid w:val="001105DD"/>
    <w:rsid w:val="00133BB6"/>
    <w:rsid w:val="00145243"/>
    <w:rsid w:val="00147C79"/>
    <w:rsid w:val="001547E5"/>
    <w:rsid w:val="00157690"/>
    <w:rsid w:val="00181B74"/>
    <w:rsid w:val="001C7229"/>
    <w:rsid w:val="001E7442"/>
    <w:rsid w:val="00204D72"/>
    <w:rsid w:val="00207A18"/>
    <w:rsid w:val="00241403"/>
    <w:rsid w:val="00243649"/>
    <w:rsid w:val="00257AB7"/>
    <w:rsid w:val="00265C9D"/>
    <w:rsid w:val="002B4E44"/>
    <w:rsid w:val="002E67B5"/>
    <w:rsid w:val="002F2C52"/>
    <w:rsid w:val="002F77EA"/>
    <w:rsid w:val="003872E7"/>
    <w:rsid w:val="003B63FE"/>
    <w:rsid w:val="003C2047"/>
    <w:rsid w:val="003D3A8F"/>
    <w:rsid w:val="00400762"/>
    <w:rsid w:val="0040076B"/>
    <w:rsid w:val="004337BE"/>
    <w:rsid w:val="004367FC"/>
    <w:rsid w:val="004449A9"/>
    <w:rsid w:val="00482F9C"/>
    <w:rsid w:val="004B27CB"/>
    <w:rsid w:val="004E6F4A"/>
    <w:rsid w:val="00517D72"/>
    <w:rsid w:val="00523EA2"/>
    <w:rsid w:val="00560CCE"/>
    <w:rsid w:val="0056137C"/>
    <w:rsid w:val="00565D92"/>
    <w:rsid w:val="00576BA3"/>
    <w:rsid w:val="00580BF8"/>
    <w:rsid w:val="00590C90"/>
    <w:rsid w:val="005A6DBF"/>
    <w:rsid w:val="005D1846"/>
    <w:rsid w:val="006121AB"/>
    <w:rsid w:val="00627565"/>
    <w:rsid w:val="00633A02"/>
    <w:rsid w:val="00652686"/>
    <w:rsid w:val="006561D8"/>
    <w:rsid w:val="006636EC"/>
    <w:rsid w:val="00681BF6"/>
    <w:rsid w:val="00684A49"/>
    <w:rsid w:val="0069512A"/>
    <w:rsid w:val="006A15E8"/>
    <w:rsid w:val="006B2800"/>
    <w:rsid w:val="006B7246"/>
    <w:rsid w:val="007120A7"/>
    <w:rsid w:val="00713367"/>
    <w:rsid w:val="0071561B"/>
    <w:rsid w:val="00731ECF"/>
    <w:rsid w:val="00742D07"/>
    <w:rsid w:val="007658AC"/>
    <w:rsid w:val="0077633D"/>
    <w:rsid w:val="00785C6A"/>
    <w:rsid w:val="007B3B82"/>
    <w:rsid w:val="007C7128"/>
    <w:rsid w:val="00805F2D"/>
    <w:rsid w:val="00837C38"/>
    <w:rsid w:val="00856E11"/>
    <w:rsid w:val="008B3349"/>
    <w:rsid w:val="008C4BAD"/>
    <w:rsid w:val="00902983"/>
    <w:rsid w:val="00912E44"/>
    <w:rsid w:val="00924401"/>
    <w:rsid w:val="00935EC6"/>
    <w:rsid w:val="00936A6B"/>
    <w:rsid w:val="00950165"/>
    <w:rsid w:val="00981923"/>
    <w:rsid w:val="0099380A"/>
    <w:rsid w:val="0099601A"/>
    <w:rsid w:val="009B10CF"/>
    <w:rsid w:val="009B5309"/>
    <w:rsid w:val="009E0D52"/>
    <w:rsid w:val="00A20152"/>
    <w:rsid w:val="00A35C65"/>
    <w:rsid w:val="00A4083B"/>
    <w:rsid w:val="00A83E41"/>
    <w:rsid w:val="00A867CE"/>
    <w:rsid w:val="00AA0665"/>
    <w:rsid w:val="00AC41AD"/>
    <w:rsid w:val="00AC6FE9"/>
    <w:rsid w:val="00AD6A23"/>
    <w:rsid w:val="00AD7046"/>
    <w:rsid w:val="00B02248"/>
    <w:rsid w:val="00B25218"/>
    <w:rsid w:val="00B2686D"/>
    <w:rsid w:val="00B343C2"/>
    <w:rsid w:val="00B62773"/>
    <w:rsid w:val="00B74730"/>
    <w:rsid w:val="00B83C15"/>
    <w:rsid w:val="00B91B33"/>
    <w:rsid w:val="00BA1F2A"/>
    <w:rsid w:val="00C1701A"/>
    <w:rsid w:val="00C34336"/>
    <w:rsid w:val="00C44B02"/>
    <w:rsid w:val="00C70DC4"/>
    <w:rsid w:val="00C81275"/>
    <w:rsid w:val="00C82CE4"/>
    <w:rsid w:val="00CA3FE3"/>
    <w:rsid w:val="00CA61C6"/>
    <w:rsid w:val="00CE50BA"/>
    <w:rsid w:val="00CF3BA7"/>
    <w:rsid w:val="00D1325C"/>
    <w:rsid w:val="00D1763F"/>
    <w:rsid w:val="00D45D0D"/>
    <w:rsid w:val="00D54DE2"/>
    <w:rsid w:val="00D64E74"/>
    <w:rsid w:val="00D902EA"/>
    <w:rsid w:val="00DA3452"/>
    <w:rsid w:val="00DB7326"/>
    <w:rsid w:val="00DC3919"/>
    <w:rsid w:val="00DC50C6"/>
    <w:rsid w:val="00E038CE"/>
    <w:rsid w:val="00E12483"/>
    <w:rsid w:val="00E20818"/>
    <w:rsid w:val="00E22563"/>
    <w:rsid w:val="00E60C42"/>
    <w:rsid w:val="00E868EF"/>
    <w:rsid w:val="00E91D52"/>
    <w:rsid w:val="00EA7CFE"/>
    <w:rsid w:val="00F044AE"/>
    <w:rsid w:val="00F165EC"/>
    <w:rsid w:val="00F42F53"/>
    <w:rsid w:val="00F831AB"/>
    <w:rsid w:val="00F90677"/>
    <w:rsid w:val="00FA0618"/>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styleId="UnresolvedMention">
    <w:name w:val="Unresolved Mention"/>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effective-online-outrea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k.org/thetechnium/better-than-f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DADE5-92DF-4605-9C7B-8425D21C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2017-06-22T21:38:00Z</dcterms:created>
  <dcterms:modified xsi:type="dcterms:W3CDTF">2017-06-26T21:16:00Z</dcterms:modified>
</cp:coreProperties>
</file>