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62" w:rsidRDefault="00171EAC">
      <w:r>
        <w:rPr>
          <w:rFonts w:ascii="Cambria" w:eastAsia="Cambria" w:hAnsi="Cambria" w:cs="Cambria"/>
          <w:b/>
          <w:color w:val="365F91"/>
          <w:sz w:val="28"/>
          <w:szCs w:val="28"/>
        </w:rPr>
        <w:t>Visualizing (and Finding!) Funding for Libraries</w:t>
      </w:r>
    </w:p>
    <w:p w:rsidR="00951362" w:rsidRPr="0043078B" w:rsidRDefault="0043078B">
      <w:pPr>
        <w:rPr>
          <w:rFonts w:asciiTheme="minorHAnsi" w:hAnsiTheme="minorHAnsi"/>
        </w:rPr>
      </w:pPr>
      <w:hyperlink r:id="rId4" w:history="1">
        <w:r w:rsidRPr="0043078B">
          <w:rPr>
            <w:rStyle w:val="Hyperlink"/>
            <w:rFonts w:asciiTheme="minorHAnsi" w:hAnsiTheme="minorHAnsi"/>
          </w:rPr>
          <w:t>http://www.webjunction.org/events/webjunction/visualizing-and-finding-funding-for-libraries.html</w:t>
        </w:r>
      </w:hyperlink>
      <w:r w:rsidRPr="0043078B">
        <w:rPr>
          <w:rFonts w:asciiTheme="minorHAnsi" w:hAnsiTheme="minorHAnsi"/>
          <w:color w:val="365F91"/>
        </w:rPr>
        <w:t xml:space="preserve"> </w:t>
      </w:r>
      <w:hyperlink r:id="rId5"/>
    </w:p>
    <w:p w:rsidR="00951362" w:rsidRPr="0043078B" w:rsidRDefault="00171EAC">
      <w:pPr>
        <w:rPr>
          <w:rFonts w:asciiTheme="minorHAnsi" w:hAnsiTheme="minorHAnsi"/>
        </w:rPr>
      </w:pPr>
      <w:r w:rsidRPr="0043078B">
        <w:rPr>
          <w:rFonts w:asciiTheme="minorHAnsi" w:hAnsiTheme="minorHAnsi"/>
          <w:color w:val="365F91"/>
        </w:rPr>
        <w:t xml:space="preserve"> </w:t>
      </w:r>
    </w:p>
    <w:p w:rsidR="00951362" w:rsidRPr="0043078B" w:rsidRDefault="00171EAC">
      <w:pPr>
        <w:rPr>
          <w:rFonts w:asciiTheme="minorHAnsi" w:hAnsiTheme="minorHAnsi"/>
        </w:rPr>
      </w:pPr>
      <w:r w:rsidRPr="0043078B">
        <w:rPr>
          <w:rFonts w:asciiTheme="minorHAnsi" w:hAnsiTheme="minorHAnsi"/>
          <w:b/>
        </w:rPr>
        <w:t xml:space="preserve">Event Description: </w:t>
      </w:r>
      <w:r w:rsidRPr="0043078B">
        <w:rPr>
          <w:rFonts w:asciiTheme="minorHAnsi" w:hAnsiTheme="minorHAnsi"/>
          <w:highlight w:val="white"/>
        </w:rPr>
        <w:t xml:space="preserve">This webinar will introduce participants to a dynamic and freely available data-visualization tool, </w:t>
      </w:r>
      <w:hyperlink r:id="rId6">
        <w:r w:rsidRPr="0043078B">
          <w:rPr>
            <w:rFonts w:asciiTheme="minorHAnsi" w:hAnsiTheme="minorHAnsi"/>
            <w:color w:val="5A458D"/>
            <w:highlight w:val="white"/>
            <w:u w:val="single"/>
          </w:rPr>
          <w:t>Visualizing Funding for Libraries</w:t>
        </w:r>
      </w:hyperlink>
      <w:r w:rsidRPr="0043078B">
        <w:rPr>
          <w:rFonts w:asciiTheme="minorHAnsi" w:hAnsiTheme="minorHAnsi"/>
          <w:highlight w:val="white"/>
        </w:rPr>
        <w:t xml:space="preserve"> that enables library professionals and supp</w:t>
      </w:r>
      <w:r w:rsidRPr="0043078B">
        <w:rPr>
          <w:rFonts w:asciiTheme="minorHAnsi" w:hAnsiTheme="minorHAnsi"/>
          <w:highlight w:val="white"/>
        </w:rPr>
        <w:t>orters to search for institutional funding for libraries at national, state, and local levels. Participants will learn pro tips on navigating the tool and as well as next steps on how to pursue new funding opportunities. Data visualizations such as maps, n</w:t>
      </w:r>
      <w:r w:rsidRPr="0043078B">
        <w:rPr>
          <w:rFonts w:asciiTheme="minorHAnsi" w:hAnsiTheme="minorHAnsi"/>
          <w:highlight w:val="white"/>
        </w:rPr>
        <w:t>etwork constellations, and partnership pathways showcase key networks of funders and recipients, as well as individual grants that highlight the library services and programs that are winning grants. Visualizing Funding for Libraries is a Knight Foundation</w:t>
      </w:r>
      <w:r w:rsidRPr="0043078B">
        <w:rPr>
          <w:rFonts w:asciiTheme="minorHAnsi" w:hAnsiTheme="minorHAnsi"/>
          <w:highlight w:val="white"/>
        </w:rPr>
        <w:t xml:space="preserve"> News Challenge winning project.</w:t>
      </w:r>
    </w:p>
    <w:p w:rsidR="00951362" w:rsidRPr="0043078B" w:rsidRDefault="00951362">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b/>
        </w:rPr>
        <w:t>Presented by:</w:t>
      </w:r>
      <w:r w:rsidRPr="0043078B">
        <w:rPr>
          <w:rFonts w:asciiTheme="minorHAnsi" w:hAnsiTheme="minorHAnsi"/>
        </w:rPr>
        <w:t xml:space="preserve"> </w:t>
      </w:r>
      <w:r w:rsidRPr="0043078B">
        <w:rPr>
          <w:rFonts w:asciiTheme="minorHAnsi" w:hAnsiTheme="minorHAnsi"/>
          <w:b/>
          <w:highlight w:val="white"/>
        </w:rPr>
        <w:t>Kate Tkacik</w:t>
      </w:r>
      <w:r w:rsidRPr="0043078B">
        <w:rPr>
          <w:rFonts w:asciiTheme="minorHAnsi" w:hAnsiTheme="minorHAnsi"/>
          <w:highlight w:val="white"/>
        </w:rPr>
        <w:t xml:space="preserve">, Manager of the Funding Information Network, and </w:t>
      </w:r>
      <w:r w:rsidRPr="0043078B">
        <w:rPr>
          <w:rFonts w:asciiTheme="minorHAnsi" w:hAnsiTheme="minorHAnsi"/>
          <w:b/>
          <w:highlight w:val="white"/>
        </w:rPr>
        <w:t>Amanda Dillon</w:t>
      </w:r>
      <w:r w:rsidRPr="0043078B">
        <w:rPr>
          <w:rFonts w:asciiTheme="minorHAnsi" w:hAnsiTheme="minorHAnsi"/>
          <w:highlight w:val="white"/>
        </w:rPr>
        <w:t xml:space="preserve">, Manager of Knowledge Services, both from the </w:t>
      </w:r>
      <w:hyperlink r:id="rId7">
        <w:r w:rsidRPr="0043078B">
          <w:rPr>
            <w:rFonts w:asciiTheme="minorHAnsi" w:hAnsiTheme="minorHAnsi"/>
            <w:color w:val="5A458D"/>
            <w:highlight w:val="white"/>
            <w:u w:val="single"/>
          </w:rPr>
          <w:t>Foundation Center</w:t>
        </w:r>
      </w:hyperlink>
      <w:r w:rsidRPr="0043078B">
        <w:rPr>
          <w:rFonts w:asciiTheme="minorHAnsi" w:hAnsiTheme="minorHAnsi"/>
          <w:highlight w:val="white"/>
        </w:rPr>
        <w:t>.</w:t>
      </w:r>
    </w:p>
    <w:p w:rsidR="00951362" w:rsidRPr="0043078B" w:rsidRDefault="00171EAC">
      <w:pPr>
        <w:rPr>
          <w:rFonts w:asciiTheme="minorHAnsi" w:hAnsiTheme="minorHAnsi"/>
        </w:rPr>
      </w:pPr>
      <w:r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43078B">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b/>
                <w:color w:val="FFFFFF"/>
                <w:shd w:val="clear" w:color="auto" w:fill="31849B"/>
              </w:rPr>
              <w:t>What are your goal</w:t>
            </w:r>
            <w:r w:rsidRPr="0043078B">
              <w:rPr>
                <w:rFonts w:asciiTheme="minorHAnsi" w:hAnsiTheme="minorHAnsi"/>
                <w:b/>
                <w:color w:val="FFFFFF"/>
                <w:shd w:val="clear" w:color="auto" w:fill="31849B"/>
              </w:rPr>
              <w:t>s for viewing this webinar?</w:t>
            </w:r>
          </w:p>
        </w:tc>
      </w:tr>
      <w:tr w:rsidR="00951362" w:rsidRPr="0043078B"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rsidR="00951362" w:rsidRPr="0043078B" w:rsidRDefault="00171EAC">
            <w:pPr>
              <w:rPr>
                <w:rFonts w:asciiTheme="minorHAnsi" w:hAnsiTheme="minorHAnsi"/>
              </w:rPr>
            </w:pPr>
            <w:r w:rsidRPr="0043078B">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rsidR="00951362" w:rsidRDefault="00171EAC">
            <w:pPr>
              <w:rPr>
                <w:rFonts w:asciiTheme="minorHAnsi" w:hAnsiTheme="minorHAnsi"/>
              </w:rPr>
            </w:pPr>
            <w:r w:rsidRPr="0043078B">
              <w:rPr>
                <w:rFonts w:asciiTheme="minorHAnsi" w:hAnsiTheme="minorHAnsi"/>
              </w:rPr>
              <w:t xml:space="preserve"> </w:t>
            </w:r>
          </w:p>
          <w:p w:rsidR="00171EAC" w:rsidRDefault="00171EAC">
            <w:pPr>
              <w:rPr>
                <w:rFonts w:asciiTheme="minorHAnsi" w:hAnsiTheme="minorHAnsi"/>
              </w:rPr>
            </w:pPr>
          </w:p>
          <w:p w:rsidR="00171EAC" w:rsidRPr="0043078B" w:rsidRDefault="00171EAC">
            <w:pPr>
              <w:rPr>
                <w:rFonts w:asciiTheme="minorHAnsi" w:hAnsiTheme="minorHAnsi"/>
              </w:rPr>
            </w:pPr>
          </w:p>
        </w:tc>
      </w:tr>
      <w:tr w:rsidR="00951362" w:rsidRPr="0043078B"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rsidR="00951362" w:rsidRPr="0043078B" w:rsidRDefault="00171EAC">
            <w:pPr>
              <w:rPr>
                <w:rFonts w:asciiTheme="minorHAnsi" w:hAnsiTheme="minorHAnsi"/>
              </w:rPr>
            </w:pPr>
            <w:r w:rsidRPr="0043078B">
              <w:rPr>
                <w:rFonts w:asciiTheme="minorHAnsi" w:hAnsiTheme="minorHAnsi"/>
                <w:b/>
                <w:shd w:val="clear" w:color="auto" w:fill="92CDDC"/>
              </w:rPr>
              <w:t>Team Goals</w:t>
            </w:r>
          </w:p>
        </w:tc>
        <w:tc>
          <w:tcPr>
            <w:tcW w:w="7170" w:type="dxa"/>
            <w:tcBorders>
              <w:bottom w:val="single" w:sz="8" w:space="0" w:color="000000"/>
              <w:right w:val="single" w:sz="8" w:space="0" w:color="000000"/>
            </w:tcBorders>
            <w:tcMar>
              <w:top w:w="100" w:type="dxa"/>
              <w:left w:w="100" w:type="dxa"/>
              <w:bottom w:w="100" w:type="dxa"/>
              <w:right w:w="100" w:type="dxa"/>
            </w:tcMar>
          </w:tcPr>
          <w:p w:rsidR="00951362" w:rsidRDefault="00171EAC">
            <w:pPr>
              <w:rPr>
                <w:rFonts w:asciiTheme="minorHAnsi" w:hAnsiTheme="minorHAnsi"/>
              </w:rPr>
            </w:pPr>
            <w:r w:rsidRPr="0043078B">
              <w:rPr>
                <w:rFonts w:asciiTheme="minorHAnsi" w:hAnsiTheme="minorHAnsi"/>
              </w:rPr>
              <w:t xml:space="preserve"> </w:t>
            </w:r>
          </w:p>
          <w:p w:rsidR="00171EAC" w:rsidRDefault="00171EAC">
            <w:pPr>
              <w:rPr>
                <w:rFonts w:asciiTheme="minorHAnsi" w:hAnsiTheme="minorHAnsi"/>
              </w:rPr>
            </w:pPr>
          </w:p>
          <w:p w:rsidR="00171EAC" w:rsidRPr="0043078B" w:rsidRDefault="00171EAC">
            <w:pPr>
              <w:rPr>
                <w:rFonts w:asciiTheme="minorHAnsi" w:hAnsiTheme="minorHAnsi"/>
              </w:rPr>
            </w:pPr>
          </w:p>
        </w:tc>
      </w:tr>
    </w:tbl>
    <w:p w:rsidR="00951362" w:rsidRPr="0043078B" w:rsidRDefault="00171EAC">
      <w:pPr>
        <w:rPr>
          <w:rFonts w:asciiTheme="minorHAnsi" w:hAnsiTheme="minorHAnsi"/>
        </w:rPr>
      </w:pPr>
      <w:r w:rsidRPr="0043078B">
        <w:rPr>
          <w:rFonts w:asciiTheme="minorHAnsi" w:hAnsiTheme="minorHAnsi"/>
          <w:b/>
        </w:rPr>
        <w:t xml:space="preserve"> </w:t>
      </w:r>
    </w:p>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43078B">
        <w:tc>
          <w:tcPr>
            <w:tcW w:w="8850"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spacing w:after="200"/>
              <w:rPr>
                <w:rFonts w:asciiTheme="minorHAnsi" w:hAnsiTheme="minorHAnsi"/>
              </w:rPr>
            </w:pPr>
            <w:r w:rsidRPr="0043078B">
              <w:rPr>
                <w:rFonts w:asciiTheme="minorHAnsi" w:hAnsiTheme="minorHAnsi"/>
                <w:b/>
                <w:color w:val="FFFFFF"/>
                <w:shd w:val="clear" w:color="auto" w:fill="31849B"/>
              </w:rPr>
              <w:t>Discussion/Reflection Question 1</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rPr>
              <w:t xml:space="preserve">Do you have any experience with fundraising or </w:t>
            </w:r>
            <w:proofErr w:type="spellStart"/>
            <w:r w:rsidRPr="0043078B">
              <w:rPr>
                <w:rFonts w:asciiTheme="minorHAnsi" w:hAnsiTheme="minorHAnsi"/>
              </w:rPr>
              <w:t>grantseeking</w:t>
            </w:r>
            <w:proofErr w:type="spellEnd"/>
            <w:r w:rsidRPr="0043078B">
              <w:rPr>
                <w:rFonts w:asciiTheme="minorHAnsi" w:hAnsiTheme="minorHAnsi"/>
              </w:rPr>
              <w:t xml:space="preserve">? Think about individuals, foundations, government. Do you have working knowledge of your libraries’ funding strategy? </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p w:rsidR="00951362" w:rsidRDefault="00171EAC">
            <w:pPr>
              <w:rPr>
                <w:rFonts w:asciiTheme="minorHAnsi" w:hAnsiTheme="minorHAnsi"/>
              </w:rPr>
            </w:pPr>
            <w:r w:rsidRPr="0043078B">
              <w:rPr>
                <w:rFonts w:asciiTheme="minorHAnsi" w:hAnsiTheme="minorHAnsi"/>
              </w:rPr>
              <w:t xml:space="preserve"> </w:t>
            </w:r>
          </w:p>
          <w:p w:rsidR="00171EAC" w:rsidRDefault="00171EAC">
            <w:pPr>
              <w:rPr>
                <w:rFonts w:asciiTheme="minorHAnsi" w:hAnsiTheme="minorHAnsi"/>
              </w:rPr>
            </w:pPr>
          </w:p>
          <w:p w:rsidR="00171EAC" w:rsidRDefault="00171EAC">
            <w:pPr>
              <w:rPr>
                <w:rFonts w:asciiTheme="minorHAnsi" w:hAnsiTheme="minorHAnsi"/>
              </w:rPr>
            </w:pPr>
          </w:p>
          <w:p w:rsidR="00171EAC" w:rsidRPr="0043078B" w:rsidRDefault="00171EAC">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b/>
                <w:color w:val="FFFFFF"/>
              </w:rPr>
              <w:t xml:space="preserve"> </w:t>
            </w:r>
          </w:p>
        </w:tc>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b/>
                <w:color w:val="FFFFFF"/>
                <w:shd w:val="clear" w:color="auto" w:fill="31849B"/>
              </w:rPr>
              <w:lastRenderedPageBreak/>
              <w:t>Activity 1</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rPr>
              <w:t>Using only the knowledge that you and your colleagues viewing the webinar share, create what you imagine your library’s revenue breakdown to look like. See below for an example.</w:t>
            </w:r>
          </w:p>
          <w:p w:rsidR="00951362" w:rsidRPr="0043078B" w:rsidRDefault="00171EAC">
            <w:pPr>
              <w:rPr>
                <w:rFonts w:asciiTheme="minorHAnsi" w:hAnsiTheme="minorHAnsi"/>
              </w:rPr>
            </w:pPr>
            <w:r w:rsidRPr="0043078B">
              <w:rPr>
                <w:rFonts w:asciiTheme="minorHAnsi" w:hAnsiTheme="minorHAnsi"/>
                <w:b/>
                <w:color w:val="FFFFFF"/>
              </w:rPr>
              <w:t xml:space="preserve"> </w:t>
            </w:r>
            <w:r w:rsidRPr="0043078B">
              <w:rPr>
                <w:rFonts w:asciiTheme="minorHAnsi" w:hAnsiTheme="minorHAnsi"/>
                <w:noProof/>
              </w:rPr>
              <w:drawing>
                <wp:inline distT="114300" distB="114300" distL="114300" distR="114300">
                  <wp:extent cx="3767138" cy="15166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767138" cy="1516640"/>
                          </a:xfrm>
                          <a:prstGeom prst="rect">
                            <a:avLst/>
                          </a:prstGeom>
                          <a:ln/>
                        </pic:spPr>
                      </pic:pic>
                    </a:graphicData>
                  </a:graphic>
                </wp:inline>
              </w:drawing>
            </w:r>
          </w:p>
          <w:p w:rsidR="00951362" w:rsidRPr="0043078B" w:rsidRDefault="00951362">
            <w:pPr>
              <w:rPr>
                <w:rFonts w:asciiTheme="minorHAnsi" w:hAnsiTheme="minorHAnsi"/>
              </w:rPr>
            </w:pPr>
          </w:p>
          <w:p w:rsidR="00951362" w:rsidRPr="0043078B" w:rsidRDefault="00951362">
            <w:pPr>
              <w:rPr>
                <w:rFonts w:asciiTheme="minorHAnsi" w:hAnsiTheme="minorHAnsi"/>
              </w:rPr>
            </w:pPr>
          </w:p>
          <w:p w:rsidR="00951362" w:rsidRPr="0043078B" w:rsidRDefault="00951362">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Default="00171EAC">
            <w:pPr>
              <w:rPr>
                <w:rFonts w:asciiTheme="minorHAnsi" w:hAnsiTheme="minorHAnsi"/>
                <w:b/>
                <w:color w:val="FFFFFF"/>
              </w:rPr>
            </w:pPr>
            <w:r w:rsidRPr="0043078B">
              <w:rPr>
                <w:rFonts w:asciiTheme="minorHAnsi" w:hAnsiTheme="minorHAnsi"/>
                <w:b/>
                <w:color w:val="FFFFFF"/>
              </w:rPr>
              <w:t xml:space="preserve"> </w:t>
            </w:r>
          </w:p>
          <w:p w:rsidR="00171EAC" w:rsidRPr="0043078B" w:rsidRDefault="00171EAC">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Default="00171EAC">
            <w:pPr>
              <w:rPr>
                <w:rFonts w:asciiTheme="minorHAnsi" w:hAnsiTheme="minorHAnsi"/>
                <w:b/>
                <w:color w:val="FFFFFF"/>
              </w:rPr>
            </w:pPr>
            <w:r w:rsidRPr="0043078B">
              <w:rPr>
                <w:rFonts w:asciiTheme="minorHAnsi" w:hAnsiTheme="minorHAnsi"/>
                <w:b/>
                <w:color w:val="FFFFFF"/>
              </w:rPr>
              <w:t xml:space="preserve"> </w:t>
            </w:r>
          </w:p>
          <w:p w:rsidR="00171EAC" w:rsidRPr="0043078B" w:rsidRDefault="00171EAC">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b/>
                <w:color w:val="FFFFFF"/>
              </w:rPr>
              <w:t xml:space="preserve"> </w:t>
            </w:r>
          </w:p>
        </w:tc>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b/>
                <w:color w:val="FFFFFF"/>
                <w:shd w:val="clear" w:color="auto" w:fill="31849B"/>
              </w:rPr>
              <w:t>Discussion/Reflection Question 2</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rPr>
              <w:t>Find your library on the Visualizing Funding for Libraries data tool. Who has given your library a grant in the past? For what? Who are the other foundations giving grants in your region? Who else is receiving grants?</w:t>
            </w: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Default="00171EAC">
            <w:pPr>
              <w:rPr>
                <w:rFonts w:asciiTheme="minorHAnsi" w:hAnsiTheme="minorHAnsi"/>
                <w:b/>
                <w:color w:val="FFFFFF"/>
              </w:rPr>
            </w:pPr>
            <w:r w:rsidRPr="0043078B">
              <w:rPr>
                <w:rFonts w:asciiTheme="minorHAnsi" w:hAnsiTheme="minorHAnsi"/>
                <w:b/>
                <w:color w:val="FFFFFF"/>
              </w:rPr>
              <w:t xml:space="preserve"> </w:t>
            </w:r>
          </w:p>
          <w:p w:rsidR="00171EAC" w:rsidRDefault="00171EAC">
            <w:pPr>
              <w:rPr>
                <w:rFonts w:asciiTheme="minorHAnsi" w:hAnsiTheme="minorHAnsi"/>
                <w:b/>
                <w:color w:val="FFFFFF"/>
              </w:rPr>
            </w:pPr>
          </w:p>
          <w:p w:rsidR="00171EAC" w:rsidRDefault="00171EAC">
            <w:pPr>
              <w:rPr>
                <w:rFonts w:asciiTheme="minorHAnsi" w:hAnsiTheme="minorHAnsi"/>
                <w:b/>
                <w:color w:val="FFFFFF"/>
              </w:rPr>
            </w:pPr>
          </w:p>
          <w:p w:rsidR="00171EAC" w:rsidRPr="0043078B" w:rsidRDefault="00171EAC">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Pr="0043078B" w:rsidRDefault="00171EAC">
            <w:pPr>
              <w:rPr>
                <w:rFonts w:asciiTheme="minorHAnsi" w:hAnsiTheme="minorHAnsi"/>
              </w:rPr>
            </w:pPr>
            <w:r w:rsidRPr="0043078B">
              <w:rPr>
                <w:rFonts w:asciiTheme="minorHAnsi" w:hAnsiTheme="minorHAnsi"/>
                <w:b/>
                <w:color w:val="FFFFFF"/>
              </w:rPr>
              <w:t xml:space="preserve"> </w:t>
            </w:r>
          </w:p>
          <w:p w:rsidR="00951362" w:rsidRPr="0043078B" w:rsidRDefault="00171EAC">
            <w:pPr>
              <w:rPr>
                <w:rFonts w:asciiTheme="minorHAnsi" w:hAnsiTheme="minorHAnsi"/>
              </w:rPr>
            </w:pPr>
            <w:r w:rsidRPr="0043078B">
              <w:rPr>
                <w:rFonts w:asciiTheme="minorHAnsi" w:hAnsiTheme="minorHAnsi"/>
                <w:b/>
                <w:color w:val="FFFFFF"/>
              </w:rPr>
              <w:t xml:space="preserve"> </w:t>
            </w:r>
          </w:p>
        </w:tc>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spacing w:after="200"/>
              <w:rPr>
                <w:rFonts w:asciiTheme="minorHAnsi" w:hAnsiTheme="minorHAnsi"/>
              </w:rPr>
            </w:pPr>
            <w:r w:rsidRPr="0043078B">
              <w:rPr>
                <w:rFonts w:asciiTheme="minorHAnsi" w:hAnsiTheme="minorHAnsi"/>
                <w:b/>
                <w:color w:val="FFFFFF"/>
                <w:shd w:val="clear" w:color="auto" w:fill="31849B"/>
              </w:rPr>
              <w:lastRenderedPageBreak/>
              <w:t>Activity 2</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rPr>
              <w:t>From these ques</w:t>
            </w:r>
            <w:r>
              <w:rPr>
                <w:rFonts w:asciiTheme="minorHAnsi" w:hAnsiTheme="minorHAnsi"/>
              </w:rPr>
              <w:t>tions, look at which foundation</w:t>
            </w:r>
            <w:r w:rsidRPr="0043078B">
              <w:rPr>
                <w:rFonts w:asciiTheme="minorHAnsi" w:hAnsiTheme="minorHAnsi"/>
              </w:rPr>
              <w:t>s may be good funding prospects. Look at the Pathways and Constellations features to see who you’re connected to. Wh</w:t>
            </w:r>
            <w:r>
              <w:rPr>
                <w:rFonts w:asciiTheme="minorHAnsi" w:hAnsiTheme="minorHAnsi"/>
              </w:rPr>
              <w:t>at are some of these foundation</w:t>
            </w:r>
            <w:r w:rsidRPr="0043078B">
              <w:rPr>
                <w:rFonts w:asciiTheme="minorHAnsi" w:hAnsiTheme="minorHAnsi"/>
              </w:rPr>
              <w:t>s</w:t>
            </w:r>
            <w:r>
              <w:rPr>
                <w:rFonts w:asciiTheme="minorHAnsi" w:hAnsiTheme="minorHAnsi"/>
              </w:rPr>
              <w:t>’</w:t>
            </w:r>
            <w:r w:rsidRPr="0043078B">
              <w:rPr>
                <w:rFonts w:asciiTheme="minorHAnsi" w:hAnsiTheme="minorHAnsi"/>
              </w:rPr>
              <w:t xml:space="preserve"> average grant size? What are their priority areas? How do y</w:t>
            </w:r>
            <w:r w:rsidRPr="0043078B">
              <w:rPr>
                <w:rFonts w:asciiTheme="minorHAnsi" w:hAnsiTheme="minorHAnsi"/>
              </w:rPr>
              <w:t>ou apply to them? (Hint: Look at their organization profile and website for more information).</w:t>
            </w:r>
          </w:p>
          <w:p w:rsidR="00951362" w:rsidRPr="0043078B" w:rsidRDefault="00951362">
            <w:pPr>
              <w:rPr>
                <w:rFonts w:asciiTheme="minorHAnsi" w:hAnsiTheme="minorHAnsi"/>
              </w:rPr>
            </w:pPr>
          </w:p>
          <w:p w:rsidR="00951362" w:rsidRPr="0043078B" w:rsidRDefault="00951362">
            <w:pPr>
              <w:rPr>
                <w:rFonts w:asciiTheme="minorHAnsi" w:hAnsiTheme="minorHAnsi"/>
              </w:rPr>
            </w:pPr>
          </w:p>
          <w:p w:rsidR="00951362" w:rsidRDefault="00951362">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Pr="0043078B" w:rsidRDefault="00171EAC">
            <w:pPr>
              <w:rPr>
                <w:rFonts w:asciiTheme="minorHAnsi" w:hAnsiTheme="minorHAnsi"/>
              </w:rPr>
            </w:pPr>
          </w:p>
          <w:p w:rsidR="00951362" w:rsidRPr="0043078B" w:rsidRDefault="00951362">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rPr>
              <w:t xml:space="preserve"> </w:t>
            </w:r>
          </w:p>
        </w:tc>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spacing w:after="200"/>
              <w:rPr>
                <w:rFonts w:asciiTheme="minorHAnsi" w:hAnsiTheme="minorHAnsi"/>
              </w:rPr>
            </w:pPr>
            <w:r w:rsidRPr="0043078B">
              <w:rPr>
                <w:rFonts w:asciiTheme="minorHAnsi" w:hAnsiTheme="minorHAnsi"/>
                <w:b/>
                <w:color w:val="FFFFFF"/>
                <w:shd w:val="clear" w:color="auto" w:fill="31849B"/>
              </w:rPr>
              <w:t>Activity 3</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Default="00171EAC">
            <w:pPr>
              <w:rPr>
                <w:rFonts w:asciiTheme="minorHAnsi" w:hAnsiTheme="minorHAnsi"/>
              </w:rPr>
            </w:pPr>
            <w:r w:rsidRPr="0043078B">
              <w:rPr>
                <w:rFonts w:asciiTheme="minorHAnsi" w:hAnsiTheme="minorHAnsi"/>
              </w:rPr>
              <w:t xml:space="preserve">Think about where grant funding fits into your library’s revenue model from above. Brainstorm a few projects that you’ve been thinking of implementing </w:t>
            </w:r>
            <w:r w:rsidRPr="0043078B">
              <w:rPr>
                <w:rFonts w:asciiTheme="minorHAnsi" w:hAnsiTheme="minorHAnsi"/>
              </w:rPr>
              <w:t xml:space="preserve">at your library that could be supported by a grant. </w:t>
            </w:r>
          </w:p>
          <w:p w:rsidR="00171EAC" w:rsidRPr="0043078B" w:rsidRDefault="00171EAC">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rPr>
              <w:t>1)</w:t>
            </w:r>
          </w:p>
          <w:p w:rsidR="00951362" w:rsidRPr="0043078B" w:rsidRDefault="00951362">
            <w:pPr>
              <w:rPr>
                <w:rFonts w:asciiTheme="minorHAnsi" w:hAnsiTheme="minorHAnsi"/>
              </w:rPr>
            </w:pPr>
          </w:p>
          <w:p w:rsidR="00951362" w:rsidRPr="0043078B" w:rsidRDefault="00951362">
            <w:pPr>
              <w:rPr>
                <w:rFonts w:asciiTheme="minorHAnsi" w:hAnsiTheme="minorHAnsi"/>
              </w:rPr>
            </w:pPr>
          </w:p>
          <w:p w:rsidR="00951362" w:rsidRPr="0043078B" w:rsidRDefault="00951362">
            <w:pPr>
              <w:rPr>
                <w:rFonts w:asciiTheme="minorHAnsi" w:hAnsiTheme="minorHAnsi"/>
              </w:rPr>
            </w:pPr>
          </w:p>
          <w:p w:rsidR="00951362" w:rsidRPr="0043078B" w:rsidRDefault="00951362">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rPr>
              <w:t>2)</w:t>
            </w:r>
          </w:p>
          <w:p w:rsidR="00951362" w:rsidRPr="0043078B" w:rsidRDefault="00951362">
            <w:pPr>
              <w:rPr>
                <w:rFonts w:asciiTheme="minorHAnsi" w:hAnsiTheme="minorHAnsi"/>
              </w:rPr>
            </w:pPr>
          </w:p>
          <w:p w:rsidR="00951362" w:rsidRDefault="00951362">
            <w:pPr>
              <w:rPr>
                <w:rFonts w:asciiTheme="minorHAnsi" w:hAnsiTheme="minorHAnsi"/>
              </w:rPr>
            </w:pPr>
          </w:p>
          <w:p w:rsidR="00171EAC" w:rsidRPr="0043078B" w:rsidRDefault="00171EAC">
            <w:pPr>
              <w:rPr>
                <w:rFonts w:asciiTheme="minorHAnsi" w:hAnsiTheme="minorHAnsi"/>
              </w:rPr>
            </w:pPr>
          </w:p>
          <w:p w:rsidR="00951362" w:rsidRPr="0043078B" w:rsidRDefault="00951362">
            <w:pPr>
              <w:rPr>
                <w:rFonts w:asciiTheme="minorHAnsi" w:hAnsiTheme="minorHAnsi"/>
              </w:rPr>
            </w:pPr>
          </w:p>
          <w:p w:rsidR="00951362" w:rsidRPr="0043078B" w:rsidRDefault="00171EAC">
            <w:pPr>
              <w:rPr>
                <w:rFonts w:asciiTheme="minorHAnsi" w:hAnsiTheme="minorHAnsi"/>
              </w:rPr>
            </w:pPr>
            <w:r w:rsidRPr="0043078B">
              <w:rPr>
                <w:rFonts w:asciiTheme="minorHAnsi" w:hAnsiTheme="minorHAnsi"/>
              </w:rPr>
              <w:t xml:space="preserve">3) </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p w:rsidR="00951362" w:rsidRDefault="00171EAC">
            <w:pPr>
              <w:rPr>
                <w:rFonts w:asciiTheme="minorHAnsi" w:hAnsiTheme="minorHAnsi"/>
                <w:b/>
              </w:rPr>
            </w:pPr>
            <w:r w:rsidRPr="0043078B">
              <w:rPr>
                <w:rFonts w:asciiTheme="minorHAnsi" w:hAnsiTheme="minorHAnsi"/>
                <w:b/>
              </w:rPr>
              <w:t xml:space="preserve"> </w:t>
            </w:r>
          </w:p>
          <w:p w:rsidR="00171EAC" w:rsidRDefault="00171EAC">
            <w:pPr>
              <w:rPr>
                <w:rFonts w:asciiTheme="minorHAnsi" w:hAnsiTheme="minorHAnsi"/>
                <w:b/>
              </w:rPr>
            </w:pPr>
          </w:p>
          <w:p w:rsidR="00171EAC" w:rsidRPr="0043078B" w:rsidRDefault="00171EAC">
            <w:pPr>
              <w:rPr>
                <w:rFonts w:asciiTheme="minorHAnsi" w:hAnsiTheme="minorHAnsi"/>
              </w:rPr>
            </w:pPr>
          </w:p>
        </w:tc>
      </w:tr>
      <w:tr w:rsidR="00951362" w:rsidRPr="0043078B">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rsidR="00951362" w:rsidRPr="0043078B" w:rsidRDefault="00171EAC">
            <w:pPr>
              <w:spacing w:after="200"/>
              <w:rPr>
                <w:rFonts w:asciiTheme="minorHAnsi" w:hAnsiTheme="minorHAnsi"/>
              </w:rPr>
            </w:pPr>
            <w:r w:rsidRPr="0043078B">
              <w:rPr>
                <w:rFonts w:asciiTheme="minorHAnsi" w:hAnsiTheme="minorHAnsi"/>
                <w:b/>
                <w:color w:val="FFFFFF"/>
                <w:shd w:val="clear" w:color="auto" w:fill="31849B"/>
              </w:rPr>
              <w:lastRenderedPageBreak/>
              <w:t xml:space="preserve">Action Plan: </w:t>
            </w:r>
            <w:r w:rsidRPr="0043078B">
              <w:rPr>
                <w:rFonts w:asciiTheme="minorHAnsi" w:hAnsiTheme="minorHAnsi"/>
                <w:color w:val="FFFFFF"/>
                <w:shd w:val="clear" w:color="auto" w:fill="31849B"/>
              </w:rPr>
              <w:t>(include next steps, who, when, etc.)</w:t>
            </w:r>
          </w:p>
        </w:tc>
      </w:tr>
      <w:tr w:rsidR="00951362" w:rsidRPr="0043078B">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1362" w:rsidRPr="0043078B" w:rsidRDefault="00171EAC">
            <w:pPr>
              <w:rPr>
                <w:rFonts w:asciiTheme="minorHAnsi" w:hAnsiTheme="minorHAnsi"/>
              </w:rPr>
            </w:pPr>
            <w:r w:rsidRPr="0043078B">
              <w:rPr>
                <w:rFonts w:asciiTheme="minorHAnsi" w:hAnsiTheme="minorHAnsi"/>
              </w:rPr>
              <w:t>Share this information with your library’s leaders, decision-makers, and any fundraising support groups including friends of the library and library foundations.</w:t>
            </w:r>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rPr>
              <w:t xml:space="preserve"> </w:t>
            </w:r>
          </w:p>
          <w:p w:rsidR="00951362" w:rsidRDefault="00171EAC">
            <w:pPr>
              <w:rPr>
                <w:rFonts w:asciiTheme="minorHAnsi" w:hAnsiTheme="minorHAnsi"/>
              </w:rPr>
            </w:pPr>
            <w:r w:rsidRPr="0043078B">
              <w:rPr>
                <w:rFonts w:asciiTheme="minorHAnsi" w:hAnsiTheme="minorHAnsi"/>
              </w:rPr>
              <w:t xml:space="preserve"> </w:t>
            </w: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Default="00171EAC">
            <w:pPr>
              <w:rPr>
                <w:rFonts w:asciiTheme="minorHAnsi" w:hAnsiTheme="minorHAnsi"/>
              </w:rPr>
            </w:pPr>
          </w:p>
          <w:p w:rsidR="00171EAC" w:rsidRPr="0043078B" w:rsidRDefault="00171EAC">
            <w:pPr>
              <w:rPr>
                <w:rFonts w:asciiTheme="minorHAnsi" w:hAnsiTheme="minorHAnsi"/>
              </w:rPr>
            </w:pPr>
            <w:bookmarkStart w:id="0" w:name="_GoBack"/>
            <w:bookmarkEnd w:id="0"/>
          </w:p>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171EAC">
            <w:pPr>
              <w:rPr>
                <w:rFonts w:asciiTheme="minorHAnsi" w:hAnsiTheme="minorHAnsi"/>
              </w:rPr>
            </w:pPr>
            <w:r w:rsidRPr="0043078B">
              <w:rPr>
                <w:rFonts w:asciiTheme="minorHAnsi" w:hAnsiTheme="minorHAnsi"/>
                <w:b/>
              </w:rPr>
              <w:t xml:space="preserve"> </w:t>
            </w:r>
          </w:p>
        </w:tc>
      </w:tr>
    </w:tbl>
    <w:p w:rsidR="00951362" w:rsidRPr="0043078B" w:rsidRDefault="00171EAC">
      <w:pPr>
        <w:rPr>
          <w:rFonts w:asciiTheme="minorHAnsi" w:hAnsiTheme="minorHAnsi"/>
        </w:rPr>
      </w:pPr>
      <w:r w:rsidRPr="0043078B">
        <w:rPr>
          <w:rFonts w:asciiTheme="minorHAnsi" w:hAnsiTheme="minorHAnsi"/>
        </w:rPr>
        <w:t xml:space="preserve"> </w:t>
      </w:r>
    </w:p>
    <w:p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51362"/>
    <w:rsid w:val="00171EAC"/>
    <w:rsid w:val="0043078B"/>
    <w:rsid w:val="0095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064D"/>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foundation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ies.foundationcenter.org/" TargetMode="External"/><Relationship Id="rId5" Type="http://schemas.openxmlformats.org/officeDocument/2006/relationships/hyperlink" Target="http://webjunction.org/events/webjunction/be-fearless-public-speaking-for-librarians.html" TargetMode="External"/><Relationship Id="rId10" Type="http://schemas.openxmlformats.org/officeDocument/2006/relationships/theme" Target="theme/theme1.xml"/><Relationship Id="rId4" Type="http://schemas.openxmlformats.org/officeDocument/2006/relationships/hyperlink" Target="http://www.webjunction.org/events/webjunction/visualizing-and-finding-funding-for-librarie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2</cp:revision>
  <dcterms:created xsi:type="dcterms:W3CDTF">2017-02-24T21:33:00Z</dcterms:created>
  <dcterms:modified xsi:type="dcterms:W3CDTF">2017-02-24T21:33:00Z</dcterms:modified>
</cp:coreProperties>
</file>