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C1B" w:rsidRPr="005F59F0" w:rsidRDefault="00EA0C1B">
      <w:pPr>
        <w:pStyle w:val="Body"/>
        <w:spacing w:after="0" w:line="240" w:lineRule="auto"/>
        <w:rPr>
          <w:rFonts w:ascii="Cambria" w:eastAsia="Cambria" w:hAnsi="Cambria" w:cs="Cambria"/>
          <w:b/>
          <w:bCs/>
          <w:color w:val="365F91"/>
          <w:sz w:val="24"/>
          <w:szCs w:val="24"/>
          <w:u w:color="365F91"/>
        </w:rPr>
      </w:pPr>
      <w:bookmarkStart w:id="0" w:name="_GoBack"/>
      <w:r w:rsidRPr="005F59F0">
        <w:rPr>
          <w:rFonts w:ascii="Cambria" w:eastAsia="Cambria" w:hAnsi="Cambria" w:cs="Cambria"/>
          <w:b/>
          <w:bCs/>
          <w:color w:val="365F91"/>
          <w:sz w:val="24"/>
          <w:szCs w:val="24"/>
          <w:u w:color="365F91"/>
        </w:rPr>
        <w:t>Culinary Literacy: A Library Recipe for Cooking Up Literacy and Community</w:t>
      </w:r>
    </w:p>
    <w:p w:rsidR="00C91FEA" w:rsidRPr="005F59F0" w:rsidRDefault="00B209B0">
      <w:pPr>
        <w:pStyle w:val="Body"/>
        <w:spacing w:after="0" w:line="240" w:lineRule="auto"/>
        <w:rPr>
          <w:rFonts w:ascii="Cambria" w:eastAsia="Cambria" w:hAnsi="Cambria" w:cs="Cambria"/>
          <w:b/>
          <w:bCs/>
          <w:color w:val="365F91"/>
          <w:sz w:val="24"/>
          <w:szCs w:val="24"/>
          <w:u w:color="365F91"/>
        </w:rPr>
      </w:pPr>
      <w:r w:rsidRPr="005F59F0">
        <w:rPr>
          <w:rFonts w:ascii="Cambria" w:eastAsia="Cambria" w:hAnsi="Cambria" w:cs="Cambria"/>
          <w:b/>
          <w:bCs/>
          <w:color w:val="365F91"/>
          <w:sz w:val="24"/>
          <w:szCs w:val="24"/>
          <w:u w:color="365F91"/>
        </w:rPr>
        <w:t>Learner Guide</w:t>
      </w:r>
    </w:p>
    <w:bookmarkEnd w:id="0"/>
    <w:p w:rsidR="00F841DD" w:rsidRPr="00685E49" w:rsidRDefault="0015641A">
      <w:pPr>
        <w:pStyle w:val="Body"/>
        <w:spacing w:after="0" w:line="240" w:lineRule="auto"/>
        <w:rPr>
          <w:rFonts w:eastAsia="Cambria" w:cs="Cambria"/>
          <w:bCs/>
          <w:color w:val="0000FF"/>
          <w:u w:color="365F91"/>
        </w:rPr>
      </w:pPr>
      <w:r>
        <w:fldChar w:fldCharType="begin"/>
      </w:r>
      <w:r>
        <w:instrText xml:space="preserve"> HYPERLINK "http://www.webjunction.org/events/webjunction/culinary-literacy.html" </w:instrText>
      </w:r>
      <w:r>
        <w:fldChar w:fldCharType="separate"/>
      </w:r>
      <w:r w:rsidR="00F841DD" w:rsidRPr="00685E49">
        <w:rPr>
          <w:rStyle w:val="Hyperlink"/>
          <w:rFonts w:eastAsia="Cambria" w:cs="Cambria"/>
          <w:bCs/>
          <w:color w:val="0000FF"/>
          <w:u w:color="365F91"/>
        </w:rPr>
        <w:t>http://www.webjunction.org/events/webjunction/culinary-literacy.html</w:t>
      </w:r>
      <w:r>
        <w:rPr>
          <w:rStyle w:val="Hyperlink"/>
          <w:rFonts w:eastAsia="Cambria" w:cs="Cambria"/>
          <w:bCs/>
          <w:color w:val="0000FF"/>
          <w:u w:color="365F91"/>
        </w:rPr>
        <w:fldChar w:fldCharType="end"/>
      </w:r>
      <w:r w:rsidR="00F841DD" w:rsidRPr="00685E49">
        <w:rPr>
          <w:rFonts w:eastAsia="Cambria" w:cs="Cambria"/>
          <w:bCs/>
          <w:color w:val="0000FF"/>
          <w:u w:color="365F91"/>
        </w:rPr>
        <w:t xml:space="preserve"> </w:t>
      </w:r>
    </w:p>
    <w:p w:rsidR="00C91FEA" w:rsidRPr="00F841DD" w:rsidRDefault="00B209B0">
      <w:pPr>
        <w:pStyle w:val="NormalWeb"/>
        <w:rPr>
          <w:rFonts w:ascii="Calibri" w:eastAsia="Calibri" w:hAnsi="Calibri" w:cs="Calibri"/>
          <w:b/>
          <w:bCs/>
          <w:sz w:val="22"/>
          <w:szCs w:val="22"/>
        </w:rPr>
      </w:pPr>
      <w:r>
        <w:rPr>
          <w:rFonts w:ascii="Calibri" w:eastAsia="Calibri" w:hAnsi="Calibri" w:cs="Calibri"/>
          <w:b/>
          <w:bCs/>
          <w:sz w:val="22"/>
          <w:szCs w:val="22"/>
        </w:rPr>
        <w:t>Event Description</w:t>
      </w:r>
      <w:r w:rsidRPr="00F841DD">
        <w:rPr>
          <w:rFonts w:ascii="Calibri" w:eastAsia="Calibri" w:hAnsi="Calibri" w:cs="Calibri"/>
          <w:b/>
          <w:bCs/>
          <w:sz w:val="22"/>
          <w:szCs w:val="22"/>
        </w:rPr>
        <w:t xml:space="preserve">: </w:t>
      </w:r>
      <w:r w:rsidR="00F841DD" w:rsidRPr="00F841DD">
        <w:rPr>
          <w:rFonts w:ascii="Calibri" w:hAnsi="Calibri"/>
          <w:sz w:val="22"/>
          <w:szCs w:val="22"/>
        </w:rPr>
        <w:t xml:space="preserve">Opening in 2014, the Free Library of Philadelphia's </w:t>
      </w:r>
      <w:hyperlink r:id="rId7" w:history="1">
        <w:r w:rsidR="00F841DD" w:rsidRPr="00685E49">
          <w:rPr>
            <w:rStyle w:val="Hyperlink"/>
            <w:rFonts w:ascii="Calibri" w:eastAsia="Cambria" w:hAnsi="Calibri" w:cs="Cambria"/>
            <w:bCs/>
            <w:color w:val="0000FF"/>
            <w:sz w:val="22"/>
            <w:szCs w:val="22"/>
            <w:u w:color="365F91"/>
          </w:rPr>
          <w:t>Culinary Literacy Center</w:t>
        </w:r>
      </w:hyperlink>
      <w:r w:rsidR="00F841DD" w:rsidRPr="00F841DD">
        <w:rPr>
          <w:rFonts w:ascii="Calibri" w:hAnsi="Calibri"/>
          <w:sz w:val="22"/>
          <w:szCs w:val="22"/>
        </w:rPr>
        <w:t xml:space="preserve"> offered the country's first commercial-grade kitchen classroom in a library. It is revolutionizing the way Philadelphians think about food, nutrition, and literacy. The Center reaches to every corner of the community. It teaches math and science to kids through measuring and mixing, builds English language skills and nutrition education for non-native speakers, empowers adults with disabilities to cook with confidence, and much more. Hear how this innovative idea was transformed into reality through strategic community partnerships and institutional support. Learn how your library can start teaching community residents everything from butchering a goat to making a vegan stew, boosting literacy and nutritional health for all.</w:t>
      </w:r>
    </w:p>
    <w:p w:rsidR="00C91FEA" w:rsidRDefault="00B209B0">
      <w:pPr>
        <w:pStyle w:val="NormalWeb"/>
        <w:rPr>
          <w:rFonts w:ascii="Calibri" w:eastAsia="Calibri" w:hAnsi="Calibri" w:cs="Calibri"/>
          <w:sz w:val="22"/>
          <w:szCs w:val="22"/>
        </w:rPr>
      </w:pPr>
      <w:r>
        <w:rPr>
          <w:rFonts w:ascii="Calibri" w:eastAsia="Calibri" w:hAnsi="Calibri" w:cs="Calibri"/>
          <w:sz w:val="22"/>
          <w:szCs w:val="22"/>
        </w:rPr>
        <w:t xml:space="preserve">Presented by: </w:t>
      </w:r>
      <w:r>
        <w:rPr>
          <w:rFonts w:ascii="Calibri" w:eastAsia="Calibri" w:hAnsi="Calibri" w:cs="Calibri"/>
          <w:b/>
          <w:bCs/>
          <w:sz w:val="22"/>
          <w:szCs w:val="22"/>
        </w:rPr>
        <w:t>Liz Fitzgerald</w:t>
      </w:r>
      <w:r>
        <w:rPr>
          <w:rFonts w:ascii="Calibri" w:eastAsia="Calibri" w:hAnsi="Calibri" w:cs="Calibri"/>
          <w:sz w:val="22"/>
          <w:szCs w:val="22"/>
        </w:rPr>
        <w:t>, Administrator, Culinary Literacy Center, Parkway Central Library, Free Library of Philadelphia</w:t>
      </w:r>
    </w:p>
    <w:tbl>
      <w:tblPr>
        <w:tblW w:w="934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95"/>
        <w:gridCol w:w="7670"/>
        <w:gridCol w:w="180"/>
      </w:tblGrid>
      <w:tr w:rsidR="00C91FEA">
        <w:trPr>
          <w:trHeight w:val="344"/>
        </w:trPr>
        <w:tc>
          <w:tcPr>
            <w:tcW w:w="9175"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rsidR="00685E49" w:rsidRPr="00685E49" w:rsidRDefault="00B209B0">
            <w:pPr>
              <w:pStyle w:val="Body"/>
              <w:rPr>
                <w:b/>
                <w:bCs/>
                <w:color w:val="FFFFFF"/>
                <w:sz w:val="24"/>
                <w:szCs w:val="24"/>
                <w:u w:color="FFFFFF"/>
              </w:rPr>
            </w:pPr>
            <w:r w:rsidRPr="00685E49">
              <w:rPr>
                <w:b/>
                <w:bCs/>
                <w:color w:val="FFFFFF"/>
                <w:sz w:val="24"/>
                <w:szCs w:val="24"/>
                <w:u w:color="FFFFFF"/>
              </w:rPr>
              <w:t>What are your goals for viewing this webinar?</w:t>
            </w:r>
          </w:p>
        </w:tc>
        <w:tc>
          <w:tcPr>
            <w:tcW w:w="17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trPr>
          <w:trHeight w:val="490"/>
        </w:trPr>
        <w:tc>
          <w:tcPr>
            <w:tcW w:w="1496" w:type="dxa"/>
            <w:tcBorders>
              <w:top w:val="single" w:sz="4" w:space="0" w:color="000000"/>
              <w:left w:val="single" w:sz="4" w:space="0" w:color="000000"/>
              <w:bottom w:val="single" w:sz="4" w:space="0" w:color="000000"/>
              <w:right w:val="single" w:sz="4" w:space="0" w:color="000000"/>
            </w:tcBorders>
            <w:shd w:val="clear" w:color="auto" w:fill="92CDDC"/>
            <w:tcMar>
              <w:top w:w="80" w:type="dxa"/>
              <w:left w:w="80" w:type="dxa"/>
              <w:bottom w:w="80" w:type="dxa"/>
              <w:right w:w="80" w:type="dxa"/>
            </w:tcMar>
            <w:vAlign w:val="center"/>
          </w:tcPr>
          <w:p w:rsidR="00C91FEA" w:rsidRDefault="00B209B0">
            <w:pPr>
              <w:pStyle w:val="Body"/>
              <w:spacing w:after="0" w:line="240" w:lineRule="auto"/>
            </w:pPr>
            <w:r>
              <w:rPr>
                <w:b/>
                <w:bCs/>
              </w:rPr>
              <w:t>Personal Goals</w:t>
            </w:r>
          </w:p>
        </w:tc>
        <w:tc>
          <w:tcPr>
            <w:tcW w:w="7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1FEA" w:rsidRDefault="00C91FEA"/>
        </w:tc>
        <w:tc>
          <w:tcPr>
            <w:tcW w:w="17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trPr>
          <w:trHeight w:val="488"/>
        </w:trPr>
        <w:tc>
          <w:tcPr>
            <w:tcW w:w="1496" w:type="dxa"/>
            <w:tcBorders>
              <w:top w:val="single" w:sz="4" w:space="0" w:color="000000"/>
              <w:left w:val="single" w:sz="4" w:space="0" w:color="000000"/>
              <w:bottom w:val="single" w:sz="4" w:space="0" w:color="000000"/>
              <w:right w:val="single" w:sz="4" w:space="0" w:color="000000"/>
            </w:tcBorders>
            <w:shd w:val="clear" w:color="auto" w:fill="92CDDC"/>
            <w:tcMar>
              <w:top w:w="80" w:type="dxa"/>
              <w:left w:w="80" w:type="dxa"/>
              <w:bottom w:w="80" w:type="dxa"/>
              <w:right w:w="80" w:type="dxa"/>
            </w:tcMar>
            <w:vAlign w:val="center"/>
          </w:tcPr>
          <w:p w:rsidR="00C91FEA" w:rsidRDefault="00B209B0">
            <w:pPr>
              <w:pStyle w:val="Body"/>
              <w:spacing w:after="0" w:line="240" w:lineRule="auto"/>
            </w:pPr>
            <w:r>
              <w:rPr>
                <w:b/>
                <w:bCs/>
              </w:rPr>
              <w:t>Team Goals</w:t>
            </w:r>
          </w:p>
        </w:tc>
        <w:tc>
          <w:tcPr>
            <w:tcW w:w="7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1FEA" w:rsidRDefault="00C91FEA"/>
        </w:tc>
        <w:tc>
          <w:tcPr>
            <w:tcW w:w="17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trPr>
          <w:trHeight w:val="478"/>
        </w:trPr>
        <w:tc>
          <w:tcPr>
            <w:tcW w:w="9175"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rsidR="00C91FEA" w:rsidRPr="00685E49" w:rsidRDefault="00B209B0">
            <w:pPr>
              <w:pStyle w:val="Body"/>
              <w:spacing w:after="0" w:line="240" w:lineRule="auto"/>
              <w:rPr>
                <w:sz w:val="24"/>
                <w:szCs w:val="24"/>
              </w:rPr>
            </w:pPr>
            <w:r w:rsidRPr="00685E49">
              <w:rPr>
                <w:b/>
                <w:bCs/>
                <w:color w:val="FFFFFF"/>
                <w:sz w:val="24"/>
                <w:szCs w:val="24"/>
                <w:u w:color="FFFFFF"/>
              </w:rPr>
              <w:t>Defining Culinary Literacy</w:t>
            </w:r>
          </w:p>
        </w:tc>
        <w:tc>
          <w:tcPr>
            <w:tcW w:w="17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trPr>
          <w:trHeight w:val="3934"/>
        </w:trPr>
        <w:tc>
          <w:tcPr>
            <w:tcW w:w="91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41DD" w:rsidRDefault="00B209B0">
            <w:pPr>
              <w:pStyle w:val="Body"/>
            </w:pPr>
            <w:r>
              <w:t xml:space="preserve">The Culinary Literacy Center casts a wide net in terms of identifying the literacies that can be advanced through cooking. </w:t>
            </w:r>
            <w:r w:rsidRPr="00F841DD">
              <w:rPr>
                <w:b/>
              </w:rPr>
              <w:t>How would you define Culinary Literacy in libraries?</w:t>
            </w:r>
            <w:r>
              <w:t xml:space="preserve"> </w:t>
            </w:r>
          </w:p>
          <w:p w:rsidR="00F841DD" w:rsidRDefault="00F841DD">
            <w:pPr>
              <w:pStyle w:val="Body"/>
            </w:pPr>
          </w:p>
          <w:p w:rsidR="00F841DD" w:rsidRDefault="00B209B0">
            <w:pPr>
              <w:pStyle w:val="Body"/>
            </w:pPr>
            <w:r w:rsidRPr="00F841DD">
              <w:rPr>
                <w:b/>
              </w:rPr>
              <w:t>What are Culinary Literacy programs that you are already doing in your library?</w:t>
            </w:r>
            <w:r>
              <w:t xml:space="preserve"> </w:t>
            </w:r>
          </w:p>
          <w:p w:rsidR="00F841DD" w:rsidRDefault="00F841DD">
            <w:pPr>
              <w:pStyle w:val="Body"/>
            </w:pPr>
          </w:p>
          <w:p w:rsidR="00F841DD" w:rsidRDefault="00F841DD">
            <w:pPr>
              <w:pStyle w:val="Body"/>
            </w:pPr>
          </w:p>
          <w:p w:rsidR="00EA0C1B" w:rsidRDefault="00EA0C1B">
            <w:pPr>
              <w:pStyle w:val="Body"/>
            </w:pPr>
          </w:p>
          <w:p w:rsidR="00C91FEA" w:rsidRPr="00F841DD" w:rsidRDefault="00B209B0">
            <w:pPr>
              <w:pStyle w:val="Body"/>
              <w:rPr>
                <w:b/>
              </w:rPr>
            </w:pPr>
            <w:r w:rsidRPr="00F841DD">
              <w:rPr>
                <w:b/>
              </w:rPr>
              <w:t xml:space="preserve">What are some ideas for programs you can begin to do? </w:t>
            </w:r>
          </w:p>
          <w:p w:rsidR="00C91FEA" w:rsidRDefault="00C91FEA">
            <w:pPr>
              <w:pStyle w:val="Body"/>
            </w:pPr>
          </w:p>
          <w:p w:rsidR="00EA0C1B" w:rsidRDefault="00EA0C1B">
            <w:pPr>
              <w:pStyle w:val="Body"/>
            </w:pPr>
          </w:p>
          <w:p w:rsidR="00C91FEA" w:rsidRDefault="00C91FEA">
            <w:pPr>
              <w:pStyle w:val="Body"/>
            </w:pPr>
          </w:p>
        </w:tc>
        <w:tc>
          <w:tcPr>
            <w:tcW w:w="17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trPr>
          <w:trHeight w:val="478"/>
        </w:trPr>
        <w:tc>
          <w:tcPr>
            <w:tcW w:w="9175"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rsidR="00C91FEA" w:rsidRPr="00685E49" w:rsidRDefault="00B209B0">
            <w:pPr>
              <w:pStyle w:val="Body"/>
              <w:spacing w:after="0" w:line="240" w:lineRule="auto"/>
              <w:rPr>
                <w:sz w:val="24"/>
                <w:szCs w:val="24"/>
              </w:rPr>
            </w:pPr>
            <w:r w:rsidRPr="00685E49">
              <w:rPr>
                <w:b/>
                <w:bCs/>
                <w:color w:val="FFFFFF"/>
                <w:sz w:val="24"/>
                <w:szCs w:val="24"/>
                <w:u w:color="FFFFFF"/>
              </w:rPr>
              <w:t>Potential Partners</w:t>
            </w:r>
          </w:p>
        </w:tc>
        <w:tc>
          <w:tcPr>
            <w:tcW w:w="17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trPr>
          <w:trHeight w:val="3850"/>
        </w:trPr>
        <w:tc>
          <w:tcPr>
            <w:tcW w:w="91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1FEA" w:rsidRDefault="00B209B0">
            <w:pPr>
              <w:pStyle w:val="ListParagraph"/>
              <w:ind w:left="0"/>
            </w:pPr>
            <w:r>
              <w:lastRenderedPageBreak/>
              <w:t xml:space="preserve">Liz suggests doing a scan of your community to see who potential partners are. </w:t>
            </w:r>
            <w:r w:rsidRPr="00F841DD">
              <w:rPr>
                <w:b/>
              </w:rPr>
              <w:t>Identify three to five individuals or organizations that you can collaborate with.</w:t>
            </w:r>
            <w:r>
              <w:t xml:space="preserve"> Start with grocery stores that may have dietitians on staff, local hospitals that do outreach, state university extensions’ departments, chefs, cooking schools. List contact information.</w:t>
            </w:r>
          </w:p>
          <w:p w:rsidR="00C91FEA" w:rsidRDefault="00C91FEA">
            <w:pPr>
              <w:pStyle w:val="ListParagraph"/>
              <w:ind w:left="0"/>
            </w:pPr>
          </w:p>
          <w:p w:rsidR="00C91FEA" w:rsidRDefault="00B209B0">
            <w:pPr>
              <w:pStyle w:val="ListParagraph"/>
              <w:ind w:left="0"/>
            </w:pPr>
            <w:r>
              <w:t>1.</w:t>
            </w:r>
          </w:p>
          <w:p w:rsidR="00F841DD" w:rsidRDefault="00F841DD">
            <w:pPr>
              <w:pStyle w:val="ListParagraph"/>
              <w:ind w:left="0"/>
            </w:pPr>
          </w:p>
          <w:p w:rsidR="00C91FEA" w:rsidRDefault="00C91FEA">
            <w:pPr>
              <w:pStyle w:val="ListParagraph"/>
              <w:ind w:left="0"/>
            </w:pPr>
          </w:p>
          <w:p w:rsidR="00C91FEA" w:rsidRDefault="00B209B0">
            <w:pPr>
              <w:pStyle w:val="ListParagraph"/>
              <w:ind w:left="0"/>
            </w:pPr>
            <w:r>
              <w:t>2.</w:t>
            </w:r>
          </w:p>
          <w:p w:rsidR="00C91FEA" w:rsidRDefault="00C91FEA">
            <w:pPr>
              <w:pStyle w:val="ListParagraph"/>
              <w:ind w:left="0"/>
            </w:pPr>
          </w:p>
          <w:p w:rsidR="00F841DD" w:rsidRDefault="00F841DD">
            <w:pPr>
              <w:pStyle w:val="ListParagraph"/>
              <w:ind w:left="0"/>
            </w:pPr>
          </w:p>
          <w:p w:rsidR="00C91FEA" w:rsidRDefault="00B209B0">
            <w:pPr>
              <w:pStyle w:val="ListParagraph"/>
              <w:ind w:left="0"/>
            </w:pPr>
            <w:r>
              <w:t>3.</w:t>
            </w:r>
          </w:p>
          <w:p w:rsidR="00F841DD" w:rsidRDefault="00F841DD">
            <w:pPr>
              <w:pStyle w:val="ListParagraph"/>
              <w:ind w:left="0"/>
            </w:pPr>
          </w:p>
          <w:p w:rsidR="00C91FEA" w:rsidRDefault="00C91FEA">
            <w:pPr>
              <w:pStyle w:val="ListParagraph"/>
              <w:ind w:left="0"/>
            </w:pPr>
          </w:p>
          <w:p w:rsidR="00C91FEA" w:rsidRDefault="00B209B0">
            <w:pPr>
              <w:pStyle w:val="ListParagraph"/>
              <w:ind w:left="0"/>
            </w:pPr>
            <w:r>
              <w:t>4.</w:t>
            </w:r>
          </w:p>
          <w:p w:rsidR="00F841DD" w:rsidRDefault="00F841DD">
            <w:pPr>
              <w:pStyle w:val="ListParagraph"/>
              <w:ind w:left="0"/>
            </w:pPr>
          </w:p>
          <w:p w:rsidR="00C91FEA" w:rsidRDefault="00C91FEA">
            <w:pPr>
              <w:pStyle w:val="ListParagraph"/>
              <w:ind w:left="0"/>
            </w:pPr>
          </w:p>
          <w:p w:rsidR="00C91FEA" w:rsidRDefault="00B209B0">
            <w:pPr>
              <w:pStyle w:val="ListParagraph"/>
              <w:ind w:left="0"/>
            </w:pPr>
            <w:r>
              <w:t>5.</w:t>
            </w:r>
          </w:p>
          <w:p w:rsidR="00F841DD" w:rsidRDefault="00F841DD">
            <w:pPr>
              <w:pStyle w:val="ListParagraph"/>
              <w:ind w:left="0"/>
            </w:pPr>
          </w:p>
          <w:p w:rsidR="00C91FEA" w:rsidRDefault="00C91FEA">
            <w:pPr>
              <w:pStyle w:val="ListParagraph"/>
              <w:ind w:left="0"/>
            </w:pPr>
          </w:p>
        </w:tc>
        <w:tc>
          <w:tcPr>
            <w:tcW w:w="17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trPr>
          <w:trHeight w:val="478"/>
        </w:trPr>
        <w:tc>
          <w:tcPr>
            <w:tcW w:w="9175"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rsidR="00C91FEA" w:rsidRPr="00685E49" w:rsidRDefault="00B209B0">
            <w:r w:rsidRPr="00685E49">
              <w:rPr>
                <w:rFonts w:ascii="Calibri" w:eastAsia="Calibri" w:hAnsi="Calibri" w:cs="Calibri"/>
                <w:b/>
                <w:bCs/>
                <w:color w:val="FFFFFF"/>
                <w:u w:color="FFFFFF"/>
              </w:rPr>
              <w:t>Build your Audience</w:t>
            </w:r>
          </w:p>
        </w:tc>
        <w:tc>
          <w:tcPr>
            <w:tcW w:w="17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trPr>
          <w:trHeight w:val="3350"/>
        </w:trPr>
        <w:tc>
          <w:tcPr>
            <w:tcW w:w="917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1FEA" w:rsidRDefault="00B209B0">
            <w:pPr>
              <w:spacing w:before="100" w:after="100"/>
            </w:pPr>
            <w:r>
              <w:rPr>
                <w:rFonts w:ascii="Calibri" w:eastAsia="Calibri" w:hAnsi="Calibri" w:cs="Calibri"/>
                <w:color w:val="000000"/>
                <w:sz w:val="22"/>
                <w:szCs w:val="22"/>
                <w:u w:color="000000"/>
              </w:rPr>
              <w:t xml:space="preserve">In addition to identifying partners, think about </w:t>
            </w:r>
            <w:r w:rsidRPr="00F841DD">
              <w:rPr>
                <w:rFonts w:ascii="Calibri" w:eastAsia="Calibri" w:hAnsi="Calibri" w:cs="Calibri"/>
                <w:b/>
                <w:color w:val="000000"/>
                <w:sz w:val="22"/>
                <w:szCs w:val="22"/>
                <w:u w:color="000000"/>
              </w:rPr>
              <w:t xml:space="preserve">who the audience can be. </w:t>
            </w:r>
            <w:r>
              <w:rPr>
                <w:rFonts w:ascii="Calibri" w:eastAsia="Calibri" w:hAnsi="Calibri" w:cs="Calibri"/>
                <w:color w:val="000000"/>
                <w:sz w:val="22"/>
                <w:szCs w:val="22"/>
                <w:u w:color="000000"/>
              </w:rPr>
              <w:t xml:space="preserve">The Culinary Literacy Center has had great success offering programs to closed groups: Class visits, veterans groups, ESL classes, organizations that serve adults with disabilities. </w:t>
            </w:r>
          </w:p>
          <w:p w:rsidR="00C91FEA" w:rsidRDefault="00C91FEA">
            <w:pPr>
              <w:spacing w:before="100" w:after="100"/>
            </w:pPr>
          </w:p>
          <w:p w:rsidR="00C91FEA" w:rsidRDefault="00B209B0">
            <w:pPr>
              <w:spacing w:before="100" w:after="100"/>
            </w:pPr>
            <w:r>
              <w:rPr>
                <w:rFonts w:ascii="Calibri" w:eastAsia="Calibri" w:hAnsi="Calibri" w:cs="Calibri"/>
                <w:color w:val="000000"/>
                <w:sz w:val="22"/>
                <w:szCs w:val="22"/>
                <w:u w:color="000000"/>
              </w:rPr>
              <w:t xml:space="preserve">Brainstorm some </w:t>
            </w:r>
            <w:r w:rsidRPr="00F841DD">
              <w:rPr>
                <w:rFonts w:ascii="Calibri" w:eastAsia="Calibri" w:hAnsi="Calibri" w:cs="Calibri"/>
                <w:b/>
                <w:color w:val="000000"/>
                <w:sz w:val="22"/>
                <w:szCs w:val="22"/>
                <w:u w:color="000000"/>
              </w:rPr>
              <w:t xml:space="preserve">groups that you are already working with </w:t>
            </w:r>
            <w:r>
              <w:rPr>
                <w:rFonts w:ascii="Calibri" w:eastAsia="Calibri" w:hAnsi="Calibri" w:cs="Calibri"/>
                <w:color w:val="000000"/>
                <w:sz w:val="22"/>
                <w:szCs w:val="22"/>
                <w:u w:color="000000"/>
              </w:rPr>
              <w:t xml:space="preserve">or would like to work with on Culinary Literacy Programs. </w:t>
            </w:r>
          </w:p>
          <w:p w:rsidR="00C91FEA" w:rsidRDefault="00C91FEA">
            <w:pPr>
              <w:spacing w:before="100" w:after="100"/>
            </w:pPr>
          </w:p>
          <w:p w:rsidR="00C91FEA" w:rsidRDefault="00C91FEA">
            <w:pPr>
              <w:spacing w:before="100" w:after="100"/>
            </w:pPr>
          </w:p>
          <w:p w:rsidR="00C91FEA" w:rsidRDefault="00C91FEA">
            <w:pPr>
              <w:spacing w:before="100" w:after="100"/>
            </w:pPr>
          </w:p>
          <w:p w:rsidR="00C91FEA" w:rsidRDefault="00C91FEA">
            <w:pPr>
              <w:spacing w:before="100" w:after="100"/>
            </w:pPr>
          </w:p>
          <w:p w:rsidR="00F841DD" w:rsidRDefault="00F841DD">
            <w:pPr>
              <w:spacing w:before="100" w:after="100"/>
            </w:pPr>
          </w:p>
          <w:p w:rsidR="00F841DD" w:rsidRDefault="00F841DD">
            <w:pPr>
              <w:spacing w:before="100" w:after="100"/>
            </w:pPr>
          </w:p>
          <w:p w:rsidR="00F841DD" w:rsidRDefault="00F841DD">
            <w:pPr>
              <w:spacing w:before="100" w:after="100"/>
            </w:pPr>
          </w:p>
          <w:p w:rsidR="00F841DD" w:rsidRDefault="00F841DD">
            <w:pPr>
              <w:spacing w:before="100" w:after="100"/>
            </w:pPr>
          </w:p>
          <w:p w:rsidR="00F841DD" w:rsidRDefault="00F841DD">
            <w:pPr>
              <w:spacing w:before="100" w:after="100"/>
            </w:pPr>
          </w:p>
          <w:p w:rsidR="00C91FEA" w:rsidRDefault="00C91FEA">
            <w:pPr>
              <w:spacing w:before="100" w:after="100"/>
            </w:pPr>
          </w:p>
        </w:tc>
        <w:tc>
          <w:tcPr>
            <w:tcW w:w="17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trPr>
          <w:trHeight w:val="478"/>
        </w:trPr>
        <w:tc>
          <w:tcPr>
            <w:tcW w:w="9175"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rsidR="00C91FEA" w:rsidRDefault="00B209B0">
            <w:pPr>
              <w:pStyle w:val="Body"/>
              <w:spacing w:after="0" w:line="240" w:lineRule="auto"/>
            </w:pPr>
            <w:r>
              <w:rPr>
                <w:b/>
                <w:bCs/>
                <w:color w:val="FFFFFF"/>
                <w:sz w:val="24"/>
                <w:szCs w:val="24"/>
                <w:u w:color="FFFFFF"/>
              </w:rPr>
              <w:t>Making the Case</w:t>
            </w:r>
          </w:p>
        </w:tc>
        <w:tc>
          <w:tcPr>
            <w:tcW w:w="17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trPr>
          <w:trHeight w:val="4090"/>
        </w:trPr>
        <w:tc>
          <w:tcPr>
            <w:tcW w:w="917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685E49" w:rsidRDefault="00B209B0">
            <w:pPr>
              <w:pStyle w:val="Body"/>
            </w:pPr>
            <w:r w:rsidRPr="0095692B">
              <w:rPr>
                <w:b/>
              </w:rPr>
              <w:lastRenderedPageBreak/>
              <w:t>Make the case and build support</w:t>
            </w:r>
            <w:r>
              <w:t xml:space="preserve"> for Culinary Literacy Programs. </w:t>
            </w:r>
          </w:p>
          <w:p w:rsidR="00C91FEA" w:rsidRDefault="00B209B0">
            <w:pPr>
              <w:pStyle w:val="Body"/>
            </w:pPr>
            <w:r>
              <w:t xml:space="preserve">The Pew Report </w:t>
            </w:r>
            <w:hyperlink r:id="rId8" w:history="1">
              <w:r w:rsidRPr="00685E49">
                <w:rPr>
                  <w:rStyle w:val="Hyperlink"/>
                  <w:rFonts w:eastAsia="Cambria" w:cs="Cambria"/>
                  <w:bCs/>
                  <w:color w:val="0000FF"/>
                  <w:u w:color="365F91"/>
                </w:rPr>
                <w:t>Libraries at the Crossroads</w:t>
              </w:r>
            </w:hyperlink>
            <w:r>
              <w:t xml:space="preserve"> cites that “many view public libraries as important resources for finding health information and some conduct such searches using libraries’ online access resources.” Additionally, it cites that the number of people who come to the library for a class, program, or lecture has dropped since 2012. Culinary Literacy programs serve to both engage library users and to fulfill the need that they have for seeking health information.</w:t>
            </w:r>
          </w:p>
          <w:p w:rsidR="00C91FEA" w:rsidRDefault="00B209B0">
            <w:pPr>
              <w:pStyle w:val="Body"/>
            </w:pPr>
            <w:r>
              <w:t xml:space="preserve">The CDC has a wealth of information that can build a case for Culinary Literacy Programming that focuses on </w:t>
            </w:r>
            <w:hyperlink r:id="rId9" w:history="1">
              <w:r w:rsidRPr="00685E49">
                <w:rPr>
                  <w:rStyle w:val="Hyperlink"/>
                  <w:rFonts w:eastAsia="Cambria" w:cs="Cambria"/>
                  <w:bCs/>
                  <w:color w:val="0000FF"/>
                  <w:u w:color="365F91"/>
                </w:rPr>
                <w:t>health</w:t>
              </w:r>
            </w:hyperlink>
            <w:r w:rsidRPr="00685E49">
              <w:rPr>
                <w:rStyle w:val="Hyperlink"/>
                <w:rFonts w:eastAsia="Cambria" w:cs="Cambria"/>
                <w:bCs/>
                <w:color w:val="0000FF"/>
                <w:u w:color="365F91"/>
              </w:rPr>
              <w:t xml:space="preserve"> </w:t>
            </w:r>
            <w:r>
              <w:t xml:space="preserve">and </w:t>
            </w:r>
            <w:hyperlink r:id="rId10" w:history="1">
              <w:r w:rsidRPr="00685E49">
                <w:rPr>
                  <w:rStyle w:val="Hyperlink"/>
                  <w:rFonts w:eastAsia="Cambria" w:cs="Cambria"/>
                  <w:bCs/>
                  <w:color w:val="0000FF"/>
                  <w:u w:color="365F91"/>
                </w:rPr>
                <w:t>nutrition</w:t>
              </w:r>
            </w:hyperlink>
            <w:r>
              <w:t xml:space="preserve"> literacy. </w:t>
            </w:r>
          </w:p>
          <w:p w:rsidR="00685E49" w:rsidRPr="00685E49" w:rsidRDefault="00685E49" w:rsidP="00685E49">
            <w:pPr>
              <w:rPr>
                <w:rFonts w:ascii="Calibri" w:hAnsi="Calibri"/>
                <w:sz w:val="22"/>
                <w:szCs w:val="22"/>
              </w:rPr>
            </w:pPr>
            <w:r w:rsidRPr="00685E49">
              <w:rPr>
                <w:rFonts w:ascii="Calibri" w:hAnsi="Calibri"/>
                <w:sz w:val="22"/>
                <w:szCs w:val="22"/>
              </w:rPr>
              <w:t xml:space="preserve">WebJunction's </w:t>
            </w:r>
            <w:hyperlink r:id="rId11" w:history="1">
              <w:r w:rsidRPr="00685E49">
                <w:rPr>
                  <w:rStyle w:val="Hyperlink"/>
                  <w:rFonts w:ascii="Calibri" w:eastAsia="Cambria" w:hAnsi="Calibri" w:cs="Cambria"/>
                  <w:bCs/>
                  <w:color w:val="0000FF"/>
                  <w:sz w:val="22"/>
                  <w:szCs w:val="22"/>
                  <w:u w:color="365F91"/>
                </w:rPr>
                <w:t>Health Happens in Libraries</w:t>
              </w:r>
            </w:hyperlink>
            <w:r w:rsidRPr="00685E49">
              <w:rPr>
                <w:rFonts w:ascii="Calibri" w:hAnsi="Calibri"/>
                <w:sz w:val="22"/>
                <w:szCs w:val="22"/>
              </w:rPr>
              <w:t xml:space="preserve"> project provides a number of relevant resources for making the case for health and nutrition related programs:</w:t>
            </w:r>
          </w:p>
          <w:p w:rsidR="00685E49" w:rsidRPr="00685E49" w:rsidRDefault="0015641A" w:rsidP="00685E4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Hyperlink"/>
                <w:rFonts w:eastAsia="Cambria" w:cs="Cambria"/>
                <w:bCs/>
                <w:color w:val="0000FF"/>
                <w:u w:color="365F91"/>
              </w:rPr>
            </w:pPr>
            <w:hyperlink r:id="rId12" w:history="1">
              <w:r w:rsidR="00685E49" w:rsidRPr="00685E49">
                <w:rPr>
                  <w:rStyle w:val="Hyperlink"/>
                  <w:rFonts w:ascii="Calibri" w:eastAsia="Cambria" w:hAnsi="Calibri" w:cs="Cambria"/>
                  <w:bCs/>
                  <w:color w:val="0000FF"/>
                  <w:sz w:val="22"/>
                  <w:szCs w:val="22"/>
                  <w:u w:color="365F91"/>
                </w:rPr>
                <w:t>Community Health Program Worksheet</w:t>
              </w:r>
            </w:hyperlink>
          </w:p>
          <w:p w:rsidR="00685E49" w:rsidRPr="00685E49" w:rsidRDefault="0015641A" w:rsidP="00685E4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sz w:val="22"/>
                <w:szCs w:val="22"/>
              </w:rPr>
            </w:pPr>
            <w:hyperlink r:id="rId13" w:history="1">
              <w:r w:rsidR="00685E49" w:rsidRPr="00685E49">
                <w:rPr>
                  <w:rStyle w:val="Hyperlink"/>
                  <w:rFonts w:ascii="Calibri" w:eastAsia="Cambria" w:hAnsi="Calibri" w:cs="Cambria"/>
                  <w:bCs/>
                  <w:color w:val="0000FF"/>
                  <w:sz w:val="22"/>
                  <w:szCs w:val="22"/>
                  <w:u w:color="365F91"/>
                </w:rPr>
                <w:t>Communications Guide</w:t>
              </w:r>
            </w:hyperlink>
            <w:r w:rsidR="00685E49" w:rsidRPr="00685E49">
              <w:rPr>
                <w:rFonts w:ascii="Calibri" w:hAnsi="Calibri"/>
                <w:sz w:val="22"/>
                <w:szCs w:val="22"/>
              </w:rPr>
              <w:t xml:space="preserve"> (with tips on clearly conveying your library’s role in supporting community health and wellness)</w:t>
            </w:r>
          </w:p>
          <w:p w:rsidR="00685E49" w:rsidRPr="00685E49" w:rsidRDefault="00685E49" w:rsidP="00685E4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Hyperlink"/>
                <w:rFonts w:eastAsia="Cambria" w:cs="Cambria"/>
                <w:bCs/>
                <w:color w:val="0000FF"/>
                <w:u w:color="365F91"/>
              </w:rPr>
            </w:pPr>
            <w:r w:rsidRPr="00685E49">
              <w:rPr>
                <w:rFonts w:ascii="Calibri" w:hAnsi="Calibri"/>
                <w:sz w:val="22"/>
                <w:szCs w:val="22"/>
              </w:rPr>
              <w:t xml:space="preserve">Library profile, </w:t>
            </w:r>
            <w:hyperlink r:id="rId14" w:history="1">
              <w:r w:rsidRPr="00685E49">
                <w:rPr>
                  <w:rStyle w:val="Hyperlink"/>
                  <w:rFonts w:ascii="Calibri" w:eastAsia="Cambria" w:hAnsi="Calibri" w:cs="Cambria"/>
                  <w:bCs/>
                  <w:color w:val="0000FF"/>
                  <w:sz w:val="22"/>
                  <w:szCs w:val="22"/>
                  <w:u w:color="365F91"/>
                </w:rPr>
                <w:t>Healthy Foods Competition Heats Up at Crandon Public Library</w:t>
              </w:r>
            </w:hyperlink>
          </w:p>
          <w:p w:rsidR="0095692B" w:rsidRPr="00685E49" w:rsidRDefault="00685E49" w:rsidP="00685E4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Style w:val="Hyperlink"/>
                <w:rFonts w:eastAsia="Cambria" w:cs="Cambria"/>
                <w:bCs/>
                <w:color w:val="0000FF"/>
                <w:u w:color="365F91"/>
              </w:rPr>
            </w:pPr>
            <w:r w:rsidRPr="00685E49">
              <w:rPr>
                <w:rFonts w:ascii="Calibri" w:hAnsi="Calibri"/>
                <w:sz w:val="22"/>
                <w:szCs w:val="22"/>
              </w:rPr>
              <w:t xml:space="preserve">Library profile, </w:t>
            </w:r>
            <w:hyperlink r:id="rId15" w:history="1">
              <w:r w:rsidRPr="00685E49">
                <w:rPr>
                  <w:rStyle w:val="Hyperlink"/>
                  <w:rFonts w:ascii="Calibri" w:eastAsia="Cambria" w:hAnsi="Calibri" w:cs="Cambria"/>
                  <w:bCs/>
                  <w:color w:val="0000FF"/>
                  <w:sz w:val="22"/>
                  <w:szCs w:val="22"/>
                  <w:u w:color="365F91"/>
                </w:rPr>
                <w:t>St. Charles Parish Library Supports Making Healthy Food Choices</w:t>
              </w:r>
            </w:hyperlink>
          </w:p>
          <w:p w:rsidR="0095692B" w:rsidRDefault="0095692B">
            <w:pPr>
              <w:pStyle w:val="Body"/>
              <w:spacing w:after="0" w:line="240" w:lineRule="auto"/>
            </w:pPr>
          </w:p>
          <w:p w:rsidR="0095692B" w:rsidRDefault="0095692B">
            <w:pPr>
              <w:pStyle w:val="Body"/>
              <w:spacing w:after="0" w:line="240" w:lineRule="auto"/>
            </w:pPr>
          </w:p>
          <w:p w:rsidR="0095692B" w:rsidRDefault="0095692B">
            <w:pPr>
              <w:pStyle w:val="Body"/>
              <w:spacing w:after="0" w:line="240" w:lineRule="auto"/>
            </w:pPr>
          </w:p>
        </w:tc>
        <w:tc>
          <w:tcPr>
            <w:tcW w:w="17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rsidR="00C91FEA" w:rsidRDefault="00C91FEA"/>
        </w:tc>
      </w:tr>
      <w:tr w:rsidR="00C91FEA">
        <w:trPr>
          <w:trHeight w:val="478"/>
        </w:trPr>
        <w:tc>
          <w:tcPr>
            <w:tcW w:w="9345" w:type="dxa"/>
            <w:gridSpan w:val="3"/>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rsidR="00C91FEA" w:rsidRDefault="00B209B0">
            <w:pPr>
              <w:pStyle w:val="Body"/>
            </w:pPr>
            <w:r>
              <w:rPr>
                <w:b/>
                <w:bCs/>
                <w:color w:val="FFFFFF"/>
                <w:u w:color="FFFFFF"/>
              </w:rPr>
              <w:t xml:space="preserve">Action Plan: </w:t>
            </w:r>
            <w:r>
              <w:rPr>
                <w:color w:val="FFFFFF"/>
                <w:u w:color="FFFFFF"/>
              </w:rPr>
              <w:t>(include next steps, who, when, etc.)</w:t>
            </w:r>
          </w:p>
        </w:tc>
      </w:tr>
      <w:tr w:rsidR="00C91FEA">
        <w:trPr>
          <w:trHeight w:val="3370"/>
        </w:trPr>
        <w:tc>
          <w:tcPr>
            <w:tcW w:w="93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95692B" w:rsidRDefault="0095692B">
            <w:pPr>
              <w:pStyle w:val="Body"/>
              <w:spacing w:after="0" w:line="240" w:lineRule="auto"/>
            </w:pPr>
          </w:p>
          <w:p w:rsidR="0095692B" w:rsidRDefault="0095692B">
            <w:pPr>
              <w:pStyle w:val="Body"/>
              <w:spacing w:after="0" w:line="240" w:lineRule="auto"/>
            </w:pPr>
          </w:p>
          <w:p w:rsidR="0095692B" w:rsidRDefault="0095692B">
            <w:pPr>
              <w:pStyle w:val="Body"/>
              <w:spacing w:after="0" w:line="240" w:lineRule="auto"/>
            </w:pPr>
          </w:p>
          <w:p w:rsidR="0095692B" w:rsidRDefault="0095692B">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tc>
      </w:tr>
    </w:tbl>
    <w:p w:rsidR="00C91FEA" w:rsidRDefault="00C91FEA">
      <w:pPr>
        <w:pStyle w:val="NormalWeb"/>
        <w:widowControl w:val="0"/>
      </w:pPr>
    </w:p>
    <w:sectPr w:rsidR="00C91FEA">
      <w:headerReference w:type="default" r:id="rId16"/>
      <w:footerReference w:type="default" r:id="rId17"/>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41A" w:rsidRDefault="0015641A">
      <w:r>
        <w:separator/>
      </w:r>
    </w:p>
  </w:endnote>
  <w:endnote w:type="continuationSeparator" w:id="0">
    <w:p w:rsidR="0015641A" w:rsidRDefault="0015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FEA" w:rsidRDefault="00C91FE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41A" w:rsidRDefault="0015641A">
      <w:r>
        <w:separator/>
      </w:r>
    </w:p>
  </w:footnote>
  <w:footnote w:type="continuationSeparator" w:id="0">
    <w:p w:rsidR="0015641A" w:rsidRDefault="00156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FEA" w:rsidRDefault="00C91FE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972F6"/>
    <w:multiLevelType w:val="multilevel"/>
    <w:tmpl w:val="1CA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26E31"/>
    <w:multiLevelType w:val="multilevel"/>
    <w:tmpl w:val="390E3C9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EA"/>
    <w:rsid w:val="0015641A"/>
    <w:rsid w:val="005F59F0"/>
    <w:rsid w:val="00685E49"/>
    <w:rsid w:val="006D2417"/>
    <w:rsid w:val="007C61C2"/>
    <w:rsid w:val="0095692B"/>
    <w:rsid w:val="00B209B0"/>
    <w:rsid w:val="00C91FEA"/>
    <w:rsid w:val="00EA0C1B"/>
    <w:rsid w:val="00F84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65518-5EE0-44C3-BC1F-A9EF6741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rmalWeb">
    <w:name w:val="Normal (Web)"/>
    <w:pPr>
      <w:spacing w:before="100" w:after="100"/>
    </w:pPr>
    <w:rPr>
      <w:rFonts w:cs="Arial Unicode MS"/>
      <w:color w:val="000000"/>
      <w:sz w:val="24"/>
      <w:szCs w:val="24"/>
      <w:u w:color="000000"/>
    </w:rPr>
  </w:style>
  <w:style w:type="paragraph" w:styleId="ListParagraph">
    <w:name w:val="List Paragraph"/>
    <w:pPr>
      <w:ind w:left="720"/>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314832">
      <w:bodyDiv w:val="1"/>
      <w:marLeft w:val="0"/>
      <w:marRight w:val="0"/>
      <w:marTop w:val="0"/>
      <w:marBottom w:val="0"/>
      <w:divBdr>
        <w:top w:val="none" w:sz="0" w:space="0" w:color="auto"/>
        <w:left w:val="none" w:sz="0" w:space="0" w:color="auto"/>
        <w:bottom w:val="none" w:sz="0" w:space="0" w:color="auto"/>
        <w:right w:val="none" w:sz="0" w:space="0" w:color="auto"/>
      </w:divBdr>
    </w:div>
    <w:div w:id="1405107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ewinternet.org/2015/09/15/libraries-at-the-crossroads/" TargetMode="External"/><Relationship Id="rId13" Type="http://schemas.openxmlformats.org/officeDocument/2006/relationships/hyperlink" Target="http://www.webjunction.org/content/dam/WebJunction/Documents/webJunction/2015-04/communications-guid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bwww.freelibrary.org/culinary/" TargetMode="External"/><Relationship Id="rId12" Type="http://schemas.openxmlformats.org/officeDocument/2006/relationships/hyperlink" Target="http://www.webjunction.org/documents/webjunction/community-health-program-worksheet.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bjunction.org/explore-topics/ehealth.html" TargetMode="External"/><Relationship Id="rId5" Type="http://schemas.openxmlformats.org/officeDocument/2006/relationships/footnotes" Target="footnotes.xml"/><Relationship Id="rId15" Type="http://schemas.openxmlformats.org/officeDocument/2006/relationships/hyperlink" Target="http://www.webjunction.org/content/dam/WebJunction/Documents/webJunction/2015-09/st-charles-parish-addresses-food-insecurity.pdf" TargetMode="External"/><Relationship Id="rId10" Type="http://schemas.openxmlformats.org/officeDocument/2006/relationships/hyperlink" Target="https://www.cdc.gov/nutri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dc.gov/healthliteracy/" TargetMode="External"/><Relationship Id="rId14" Type="http://schemas.openxmlformats.org/officeDocument/2006/relationships/hyperlink" Target="http://www.webjunction.org/content/dam/WebJunction/Documents/webJunction/2015-09/healthy-foods-competition-heats-up-at-crandon.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Peterson,Jennifer</dc:creator>
  <cp:lastModifiedBy>Peterson,Jennifer</cp:lastModifiedBy>
  <cp:revision>3</cp:revision>
  <dcterms:created xsi:type="dcterms:W3CDTF">2016-12-02T23:25:00Z</dcterms:created>
  <dcterms:modified xsi:type="dcterms:W3CDTF">2016-12-02T23:25:00Z</dcterms:modified>
</cp:coreProperties>
</file>