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19F" w:rsidRDefault="008F6DB7">
      <w:pPr>
        <w:rPr>
          <w:b/>
          <w:sz w:val="32"/>
          <w:szCs w:val="32"/>
        </w:rPr>
      </w:pPr>
      <w:r>
        <w:rPr>
          <w:noProof/>
        </w:rPr>
        <w:drawing>
          <wp:inline distT="0" distB="0" distL="0" distR="0">
            <wp:extent cx="981075" cy="981075"/>
            <wp:effectExtent l="0" t="0" r="9525" b="9525"/>
            <wp:docPr id="1" name="Picture 1" descr="C:\Users\rhorton.IMLS\Desktop\coali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rton.IMLS\Desktop\coalition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r>
        <w:tab/>
      </w:r>
      <w:r w:rsidRPr="0091489C">
        <w:rPr>
          <w:b/>
          <w:sz w:val="44"/>
          <w:szCs w:val="44"/>
        </w:rPr>
        <w:t xml:space="preserve">Articulating the </w:t>
      </w:r>
      <w:r w:rsidR="00B65B41">
        <w:rPr>
          <w:b/>
          <w:sz w:val="44"/>
          <w:szCs w:val="44"/>
        </w:rPr>
        <w:t>I</w:t>
      </w:r>
      <w:r w:rsidRPr="0091489C">
        <w:rPr>
          <w:b/>
          <w:sz w:val="44"/>
          <w:szCs w:val="44"/>
        </w:rPr>
        <w:t>dea</w:t>
      </w:r>
    </w:p>
    <w:p w:rsidR="008F6DB7" w:rsidRDefault="008F6DB7">
      <w:pPr>
        <w:rPr>
          <w:b/>
          <w:sz w:val="32"/>
          <w:szCs w:val="32"/>
        </w:rPr>
      </w:pPr>
    </w:p>
    <w:p w:rsidR="008F6DB7" w:rsidRDefault="008F6DB7">
      <w:pPr>
        <w:rPr>
          <w:b/>
          <w:sz w:val="32"/>
          <w:szCs w:val="32"/>
        </w:rPr>
      </w:pPr>
    </w:p>
    <w:p w:rsidR="008F6DB7" w:rsidRDefault="008F6DB7">
      <w:pPr>
        <w:rPr>
          <w:sz w:val="22"/>
          <w:szCs w:val="22"/>
        </w:rPr>
      </w:pPr>
      <w:r>
        <w:t xml:space="preserve">1. </w:t>
      </w:r>
      <w:r>
        <w:rPr>
          <w:sz w:val="22"/>
          <w:szCs w:val="22"/>
        </w:rPr>
        <w:t>Describe your project idea in two sentences.</w:t>
      </w:r>
    </w:p>
    <w:p w:rsidR="008F6DB7" w:rsidRDefault="00E3643D" w:rsidP="00E3643D">
      <w:pPr>
        <w:pStyle w:val="ListParagraph"/>
        <w:numPr>
          <w:ilvl w:val="0"/>
          <w:numId w:val="2"/>
        </w:numPr>
        <w:rPr>
          <w:sz w:val="22"/>
          <w:szCs w:val="22"/>
        </w:rPr>
      </w:pPr>
      <w:r>
        <w:rPr>
          <w:sz w:val="22"/>
          <w:szCs w:val="22"/>
        </w:rPr>
        <w:t>Assess the care and storage of the rapidly expanding AV collection in preparation for</w:t>
      </w:r>
      <w:r w:rsidR="00045839">
        <w:rPr>
          <w:sz w:val="22"/>
          <w:szCs w:val="22"/>
        </w:rPr>
        <w:t xml:space="preserve"> re-housing,</w:t>
      </w:r>
      <w:r>
        <w:rPr>
          <w:sz w:val="22"/>
          <w:szCs w:val="22"/>
        </w:rPr>
        <w:t xml:space="preserve"> media transfer</w:t>
      </w:r>
      <w:r w:rsidR="00045839">
        <w:rPr>
          <w:sz w:val="22"/>
          <w:szCs w:val="22"/>
        </w:rPr>
        <w:t>,</w:t>
      </w:r>
      <w:r>
        <w:rPr>
          <w:sz w:val="22"/>
          <w:szCs w:val="22"/>
        </w:rPr>
        <w:t xml:space="preserve"> and digitization.</w:t>
      </w:r>
    </w:p>
    <w:p w:rsidR="00E3643D" w:rsidRPr="00E3643D" w:rsidRDefault="00045839" w:rsidP="00E3643D">
      <w:pPr>
        <w:pStyle w:val="ListParagraph"/>
        <w:numPr>
          <w:ilvl w:val="0"/>
          <w:numId w:val="2"/>
        </w:numPr>
        <w:rPr>
          <w:sz w:val="22"/>
          <w:szCs w:val="22"/>
        </w:rPr>
      </w:pPr>
      <w:r>
        <w:rPr>
          <w:sz w:val="22"/>
          <w:szCs w:val="22"/>
        </w:rPr>
        <w:t>Learn what types of media are contained within the existing AV collection and the best way to preserve them.</w:t>
      </w:r>
      <w:r w:rsidR="00E3643D">
        <w:rPr>
          <w:sz w:val="22"/>
          <w:szCs w:val="22"/>
        </w:rPr>
        <w:t xml:space="preserve">  </w:t>
      </w:r>
    </w:p>
    <w:p w:rsidR="008F6DB7" w:rsidRDefault="008F6DB7">
      <w:pPr>
        <w:rPr>
          <w:sz w:val="22"/>
          <w:szCs w:val="22"/>
        </w:rPr>
      </w:pPr>
    </w:p>
    <w:p w:rsidR="008F6DB7" w:rsidRDefault="008F6DB7">
      <w:pPr>
        <w:rPr>
          <w:sz w:val="22"/>
          <w:szCs w:val="22"/>
        </w:rPr>
      </w:pPr>
      <w:r>
        <w:rPr>
          <w:sz w:val="22"/>
          <w:szCs w:val="22"/>
        </w:rPr>
        <w:t>2. What is the purpose of the project? Does it solve a problem? Meet an institutional need? Address an interest? Put existing resources to new use?</w:t>
      </w:r>
    </w:p>
    <w:p w:rsidR="00045839" w:rsidRDefault="00045839" w:rsidP="00045839">
      <w:pPr>
        <w:pStyle w:val="ListParagraph"/>
        <w:numPr>
          <w:ilvl w:val="0"/>
          <w:numId w:val="3"/>
        </w:numPr>
        <w:rPr>
          <w:sz w:val="22"/>
          <w:szCs w:val="22"/>
        </w:rPr>
      </w:pPr>
      <w:r>
        <w:rPr>
          <w:sz w:val="22"/>
          <w:szCs w:val="22"/>
        </w:rPr>
        <w:t xml:space="preserve">The purpose of the project is to assess the </w:t>
      </w:r>
      <w:r w:rsidR="001A4054">
        <w:rPr>
          <w:sz w:val="22"/>
          <w:szCs w:val="22"/>
        </w:rPr>
        <w:t xml:space="preserve">AV </w:t>
      </w:r>
      <w:r>
        <w:rPr>
          <w:sz w:val="22"/>
          <w:szCs w:val="22"/>
        </w:rPr>
        <w:t>co</w:t>
      </w:r>
      <w:r w:rsidR="00EA7FDC">
        <w:rPr>
          <w:sz w:val="22"/>
          <w:szCs w:val="22"/>
        </w:rPr>
        <w:t>llection to identify, and</w:t>
      </w:r>
      <w:r>
        <w:rPr>
          <w:sz w:val="22"/>
          <w:szCs w:val="22"/>
        </w:rPr>
        <w:t xml:space="preserve"> learn how to care for</w:t>
      </w:r>
      <w:r w:rsidR="00EA7FDC">
        <w:rPr>
          <w:sz w:val="22"/>
          <w:szCs w:val="22"/>
        </w:rPr>
        <w:t>,</w:t>
      </w:r>
      <w:r>
        <w:rPr>
          <w:sz w:val="22"/>
          <w:szCs w:val="22"/>
        </w:rPr>
        <w:t xml:space="preserve"> the various types of media.</w:t>
      </w:r>
    </w:p>
    <w:p w:rsidR="00045839" w:rsidRDefault="00045839" w:rsidP="00045839">
      <w:pPr>
        <w:pStyle w:val="ListParagraph"/>
        <w:numPr>
          <w:ilvl w:val="0"/>
          <w:numId w:val="3"/>
        </w:numPr>
        <w:rPr>
          <w:sz w:val="22"/>
          <w:szCs w:val="22"/>
        </w:rPr>
      </w:pPr>
      <w:r>
        <w:rPr>
          <w:sz w:val="22"/>
          <w:szCs w:val="22"/>
        </w:rPr>
        <w:t>This would help us identify the types of media present in the collection, their current condition, and their long term preservation needs.</w:t>
      </w:r>
    </w:p>
    <w:p w:rsidR="00045839" w:rsidRDefault="00AF6897" w:rsidP="00045839">
      <w:pPr>
        <w:pStyle w:val="ListParagraph"/>
        <w:numPr>
          <w:ilvl w:val="0"/>
          <w:numId w:val="3"/>
        </w:numPr>
        <w:rPr>
          <w:sz w:val="22"/>
          <w:szCs w:val="22"/>
        </w:rPr>
      </w:pPr>
      <w:r>
        <w:rPr>
          <w:sz w:val="22"/>
          <w:szCs w:val="22"/>
        </w:rPr>
        <w:t xml:space="preserve">The project would allow us to take better care of the AV collection now and in the future. </w:t>
      </w:r>
      <w:r w:rsidR="00E616F6">
        <w:rPr>
          <w:sz w:val="22"/>
          <w:szCs w:val="22"/>
        </w:rPr>
        <w:t>This</w:t>
      </w:r>
      <w:r>
        <w:rPr>
          <w:sz w:val="22"/>
          <w:szCs w:val="22"/>
        </w:rPr>
        <w:t xml:space="preserve"> is one of the fastest gr</w:t>
      </w:r>
      <w:r w:rsidR="00E616F6">
        <w:rPr>
          <w:sz w:val="22"/>
          <w:szCs w:val="22"/>
        </w:rPr>
        <w:t>owing collecting areas.</w:t>
      </w:r>
    </w:p>
    <w:p w:rsidR="00E616F6" w:rsidRDefault="00E616F6" w:rsidP="00045839">
      <w:pPr>
        <w:pStyle w:val="ListParagraph"/>
        <w:numPr>
          <w:ilvl w:val="0"/>
          <w:numId w:val="3"/>
        </w:numPr>
        <w:rPr>
          <w:sz w:val="22"/>
          <w:szCs w:val="22"/>
        </w:rPr>
      </w:pPr>
      <w:r>
        <w:rPr>
          <w:sz w:val="22"/>
          <w:szCs w:val="22"/>
        </w:rPr>
        <w:t xml:space="preserve">There has been increasing interest in this collection which parallels its growth. However, there is apprehension in viewing the various media without knowing more about their current condition. This has limited the institution’s and scholar’s research capacity. </w:t>
      </w:r>
    </w:p>
    <w:p w:rsidR="008F6DB7" w:rsidRPr="00630739" w:rsidRDefault="00E616F6" w:rsidP="00630739">
      <w:pPr>
        <w:pStyle w:val="ListParagraph"/>
        <w:numPr>
          <w:ilvl w:val="0"/>
          <w:numId w:val="3"/>
        </w:numPr>
        <w:rPr>
          <w:sz w:val="22"/>
          <w:szCs w:val="22"/>
        </w:rPr>
      </w:pPr>
      <w:r w:rsidRPr="00630739">
        <w:rPr>
          <w:sz w:val="22"/>
          <w:szCs w:val="22"/>
        </w:rPr>
        <w:t xml:space="preserve">There </w:t>
      </w:r>
      <w:r w:rsidR="00630739" w:rsidRPr="00630739">
        <w:rPr>
          <w:sz w:val="22"/>
          <w:szCs w:val="22"/>
        </w:rPr>
        <w:t>are</w:t>
      </w:r>
      <w:r w:rsidRPr="00630739">
        <w:rPr>
          <w:sz w:val="22"/>
          <w:szCs w:val="22"/>
        </w:rPr>
        <w:t xml:space="preserve"> ample storage facilities available which can be retrofitted to accommodate the AV collection. </w:t>
      </w:r>
      <w:r w:rsidR="00EA7FDC">
        <w:rPr>
          <w:sz w:val="22"/>
          <w:szCs w:val="22"/>
        </w:rPr>
        <w:t>It may allow for increased collaboration with the University of Kentucky’s</w:t>
      </w:r>
      <w:r w:rsidR="001A4054">
        <w:rPr>
          <w:sz w:val="22"/>
          <w:szCs w:val="22"/>
        </w:rPr>
        <w:t xml:space="preserve">, </w:t>
      </w:r>
      <w:proofErr w:type="spellStart"/>
      <w:r w:rsidR="001A4054">
        <w:rPr>
          <w:sz w:val="22"/>
          <w:szCs w:val="22"/>
        </w:rPr>
        <w:t>Keeneland’s</w:t>
      </w:r>
      <w:proofErr w:type="spellEnd"/>
      <w:r w:rsidR="001A4054">
        <w:rPr>
          <w:sz w:val="22"/>
          <w:szCs w:val="22"/>
        </w:rPr>
        <w:t>,</w:t>
      </w:r>
      <w:r w:rsidR="00EA7FDC">
        <w:rPr>
          <w:sz w:val="22"/>
          <w:szCs w:val="22"/>
        </w:rPr>
        <w:t xml:space="preserve"> and/or the Kentucky Historical Society’s Library and Archives programs.</w:t>
      </w:r>
      <w:r w:rsidR="001A4054">
        <w:rPr>
          <w:sz w:val="22"/>
          <w:szCs w:val="22"/>
        </w:rPr>
        <w:t xml:space="preserve"> It may also allow for consultation and/or collaboration with the Image Permanence Institute.</w:t>
      </w:r>
    </w:p>
    <w:p w:rsidR="008F6DB7" w:rsidRDefault="008F6DB7">
      <w:pPr>
        <w:rPr>
          <w:sz w:val="22"/>
          <w:szCs w:val="22"/>
        </w:rPr>
      </w:pPr>
    </w:p>
    <w:p w:rsidR="008F6DB7" w:rsidRDefault="008F6DB7">
      <w:pPr>
        <w:rPr>
          <w:sz w:val="22"/>
          <w:szCs w:val="22"/>
        </w:rPr>
      </w:pPr>
    </w:p>
    <w:p w:rsidR="00BD7CB2" w:rsidRDefault="008F6DB7" w:rsidP="00BD7CB2">
      <w:pPr>
        <w:rPr>
          <w:sz w:val="22"/>
          <w:szCs w:val="22"/>
        </w:rPr>
      </w:pPr>
      <w:r>
        <w:t xml:space="preserve">3. </w:t>
      </w:r>
      <w:r w:rsidR="00A0075C">
        <w:rPr>
          <w:sz w:val="22"/>
          <w:szCs w:val="22"/>
        </w:rPr>
        <w:t>What will be the impact of</w:t>
      </w:r>
      <w:r>
        <w:rPr>
          <w:sz w:val="22"/>
          <w:szCs w:val="22"/>
        </w:rPr>
        <w:t xml:space="preserve"> your project?  </w:t>
      </w:r>
      <w:r w:rsidR="00A0075C">
        <w:rPr>
          <w:sz w:val="22"/>
          <w:szCs w:val="22"/>
        </w:rPr>
        <w:t>How will it affect your institution, the profession, the public?</w:t>
      </w:r>
    </w:p>
    <w:p w:rsidR="00BD7CB2" w:rsidRDefault="00630739" w:rsidP="00630739">
      <w:pPr>
        <w:pStyle w:val="ListParagraph"/>
        <w:numPr>
          <w:ilvl w:val="0"/>
          <w:numId w:val="4"/>
        </w:numPr>
        <w:rPr>
          <w:sz w:val="22"/>
          <w:szCs w:val="22"/>
        </w:rPr>
      </w:pPr>
      <w:r>
        <w:rPr>
          <w:sz w:val="22"/>
          <w:szCs w:val="22"/>
        </w:rPr>
        <w:t xml:space="preserve">Upon completion of the assessment, the institution would be able to proceed with a re-housing project and, ultimately digitization of the AV collection. </w:t>
      </w:r>
    </w:p>
    <w:p w:rsidR="00630739" w:rsidRDefault="00630739" w:rsidP="00630739">
      <w:pPr>
        <w:pStyle w:val="ListParagraph"/>
        <w:numPr>
          <w:ilvl w:val="0"/>
          <w:numId w:val="4"/>
        </w:numPr>
        <w:rPr>
          <w:sz w:val="22"/>
          <w:szCs w:val="22"/>
        </w:rPr>
      </w:pPr>
      <w:r>
        <w:rPr>
          <w:sz w:val="22"/>
          <w:szCs w:val="22"/>
        </w:rPr>
        <w:t>It will allow the institution to</w:t>
      </w:r>
      <w:r w:rsidR="00AB6AD6">
        <w:rPr>
          <w:sz w:val="22"/>
          <w:szCs w:val="22"/>
        </w:rPr>
        <w:t>:</w:t>
      </w:r>
      <w:r>
        <w:rPr>
          <w:sz w:val="22"/>
          <w:szCs w:val="22"/>
        </w:rPr>
        <w:t xml:space="preserve"> </w:t>
      </w:r>
      <w:r w:rsidR="00AB6AD6">
        <w:rPr>
          <w:sz w:val="22"/>
          <w:szCs w:val="22"/>
        </w:rPr>
        <w:t>continue</w:t>
      </w:r>
      <w:r w:rsidR="00F408E8">
        <w:rPr>
          <w:sz w:val="22"/>
          <w:szCs w:val="22"/>
        </w:rPr>
        <w:t xml:space="preserve"> to sustainably collect</w:t>
      </w:r>
      <w:r w:rsidR="00AB6AD6">
        <w:rPr>
          <w:sz w:val="22"/>
          <w:szCs w:val="22"/>
        </w:rPr>
        <w:t xml:space="preserve"> AV material;</w:t>
      </w:r>
      <w:r>
        <w:rPr>
          <w:sz w:val="22"/>
          <w:szCs w:val="22"/>
        </w:rPr>
        <w:t xml:space="preserve"> we may be able to lend insight into the storage and care of a variety of AV material </w:t>
      </w:r>
      <w:r w:rsidR="00AB6AD6">
        <w:rPr>
          <w:sz w:val="22"/>
          <w:szCs w:val="22"/>
        </w:rPr>
        <w:t>since our collection encompasses all types of broadcast media</w:t>
      </w:r>
      <w:r w:rsidR="00F408E8">
        <w:rPr>
          <w:sz w:val="22"/>
          <w:szCs w:val="22"/>
        </w:rPr>
        <w:t xml:space="preserve"> and sound recordings, </w:t>
      </w:r>
      <w:r w:rsidR="00AB6AD6">
        <w:rPr>
          <w:sz w:val="22"/>
          <w:szCs w:val="22"/>
        </w:rPr>
        <w:t>to film for personal use; would i</w:t>
      </w:r>
      <w:r w:rsidR="00F408E8">
        <w:rPr>
          <w:sz w:val="22"/>
          <w:szCs w:val="22"/>
        </w:rPr>
        <w:t xml:space="preserve">ncrease the collection’s </w:t>
      </w:r>
      <w:r w:rsidR="00AB6AD6">
        <w:rPr>
          <w:sz w:val="22"/>
          <w:szCs w:val="22"/>
        </w:rPr>
        <w:t>availab</w:t>
      </w:r>
      <w:r w:rsidR="00F408E8">
        <w:rPr>
          <w:sz w:val="22"/>
          <w:szCs w:val="22"/>
        </w:rPr>
        <w:t>ility and access in the long run.</w:t>
      </w:r>
    </w:p>
    <w:p w:rsidR="00AB6AD6" w:rsidRPr="00630739" w:rsidRDefault="00AB6AD6" w:rsidP="00AB6AD6">
      <w:pPr>
        <w:pStyle w:val="ListParagraph"/>
        <w:rPr>
          <w:sz w:val="22"/>
          <w:szCs w:val="22"/>
        </w:rPr>
      </w:pPr>
    </w:p>
    <w:p w:rsidR="00BD7CB2" w:rsidRDefault="00BD7CB2" w:rsidP="00BD7CB2">
      <w:pPr>
        <w:rPr>
          <w:sz w:val="22"/>
          <w:szCs w:val="22"/>
        </w:rPr>
      </w:pPr>
    </w:p>
    <w:p w:rsidR="000411A2" w:rsidRPr="00BD7CB2" w:rsidRDefault="00BD7CB2" w:rsidP="00BD7CB2">
      <w:pPr>
        <w:rPr>
          <w:sz w:val="22"/>
          <w:szCs w:val="22"/>
        </w:rPr>
      </w:pPr>
      <w:r>
        <w:rPr>
          <w:sz w:val="22"/>
          <w:szCs w:val="22"/>
        </w:rPr>
        <w:t>4. What are the products?  Should you consider any s</w:t>
      </w:r>
      <w:r w:rsidRPr="00BD7CB2">
        <w:rPr>
          <w:sz w:val="22"/>
          <w:szCs w:val="22"/>
        </w:rPr>
        <w:t>tandards, mandates</w:t>
      </w:r>
      <w:r>
        <w:rPr>
          <w:sz w:val="22"/>
          <w:szCs w:val="22"/>
        </w:rPr>
        <w:t xml:space="preserve"> or</w:t>
      </w:r>
      <w:r w:rsidRPr="00BD7CB2">
        <w:rPr>
          <w:sz w:val="22"/>
          <w:szCs w:val="22"/>
        </w:rPr>
        <w:t xml:space="preserve"> best practices?</w:t>
      </w:r>
    </w:p>
    <w:p w:rsidR="00BD7CB2" w:rsidRDefault="00AB6AD6" w:rsidP="00AB6AD6">
      <w:pPr>
        <w:pStyle w:val="ListParagraph"/>
        <w:numPr>
          <w:ilvl w:val="0"/>
          <w:numId w:val="5"/>
        </w:numPr>
      </w:pPr>
      <w:r>
        <w:t>The products</w:t>
      </w:r>
      <w:r w:rsidR="00EA7FDC">
        <w:t xml:space="preserve"> would be increased knowledge of</w:t>
      </w:r>
      <w:r>
        <w:t xml:space="preserve"> identification and care for the AV collection which would allow the institution to evolve into a world class repository for AV materials related to the relationship between horse and man.</w:t>
      </w:r>
    </w:p>
    <w:p w:rsidR="00EA7FDC" w:rsidRDefault="00EA7FDC" w:rsidP="00AB6AD6">
      <w:pPr>
        <w:pStyle w:val="ListParagraph"/>
        <w:numPr>
          <w:ilvl w:val="0"/>
          <w:numId w:val="5"/>
        </w:numPr>
      </w:pPr>
      <w:r>
        <w:t>Archival standards, mandates, and best practices would be the driving force of the project and greater knowledge of them would be the ultimate goal.</w:t>
      </w:r>
    </w:p>
    <w:p w:rsidR="005D210D" w:rsidRDefault="005D210D" w:rsidP="005D210D">
      <w:pPr>
        <w:rPr>
          <w:b/>
          <w:bCs/>
          <w:sz w:val="36"/>
          <w:szCs w:val="36"/>
        </w:rPr>
      </w:pPr>
    </w:p>
    <w:p w:rsidR="005D210D" w:rsidRPr="00AC4789" w:rsidRDefault="005D210D" w:rsidP="005D210D">
      <w:pPr>
        <w:rPr>
          <w:b/>
          <w:sz w:val="36"/>
          <w:szCs w:val="36"/>
        </w:rPr>
      </w:pPr>
      <w:r w:rsidRPr="00AC4789">
        <w:rPr>
          <w:noProof/>
          <w:sz w:val="36"/>
          <w:szCs w:val="36"/>
        </w:rPr>
        <w:lastRenderedPageBreak/>
        <w:drawing>
          <wp:anchor distT="0" distB="0" distL="114300" distR="114300" simplePos="0" relativeHeight="251659264" behindDoc="0" locked="0" layoutInCell="1" allowOverlap="1" wp14:anchorId="78716778" wp14:editId="319B5A82">
            <wp:simplePos x="0" y="0"/>
            <wp:positionH relativeFrom="column">
              <wp:posOffset>-76200</wp:posOffset>
            </wp:positionH>
            <wp:positionV relativeFrom="page">
              <wp:posOffset>822960</wp:posOffset>
            </wp:positionV>
            <wp:extent cx="978408" cy="978408"/>
            <wp:effectExtent l="0" t="0" r="0" b="0"/>
            <wp:wrapSquare wrapText="bothSides"/>
            <wp:docPr id="2" name="Picture 2" descr="C:\Users\rhorton.IMLS\Desktop\coali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orton.IMLS\Desktop\coalition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8408" cy="978408"/>
                    </a:xfrm>
                    <a:prstGeom prst="rect">
                      <a:avLst/>
                    </a:prstGeom>
                    <a:noFill/>
                    <a:ln>
                      <a:noFill/>
                    </a:ln>
                  </pic:spPr>
                </pic:pic>
              </a:graphicData>
            </a:graphic>
          </wp:anchor>
        </w:drawing>
      </w:r>
      <w:r w:rsidRPr="00AC4789">
        <w:rPr>
          <w:b/>
          <w:bCs/>
          <w:sz w:val="36"/>
          <w:szCs w:val="36"/>
        </w:rPr>
        <w:t>Identifying Audiences and Key Constituencies</w:t>
      </w:r>
    </w:p>
    <w:p w:rsidR="005D210D" w:rsidRDefault="005D210D" w:rsidP="005D210D">
      <w:pPr>
        <w:rPr>
          <w:b/>
          <w:sz w:val="32"/>
          <w:szCs w:val="32"/>
        </w:rPr>
      </w:pPr>
    </w:p>
    <w:p w:rsidR="005D210D" w:rsidRDefault="005D210D" w:rsidP="005D210D"/>
    <w:p w:rsidR="005D210D" w:rsidRDefault="005D210D" w:rsidP="005D210D">
      <w:r>
        <w:t>Questions and considerations:</w:t>
      </w:r>
    </w:p>
    <w:p w:rsidR="005D210D" w:rsidRDefault="005D210D" w:rsidP="005D210D"/>
    <w:p w:rsidR="005D210D" w:rsidRDefault="005D210D" w:rsidP="005D210D">
      <w:pPr>
        <w:pStyle w:val="ListParagraph"/>
      </w:pPr>
    </w:p>
    <w:p w:rsidR="005D210D" w:rsidRDefault="005D210D" w:rsidP="005D210D">
      <w:pPr>
        <w:pStyle w:val="ListParagraph"/>
        <w:numPr>
          <w:ilvl w:val="0"/>
          <w:numId w:val="6"/>
        </w:numPr>
      </w:pPr>
      <w:r>
        <w:t xml:space="preserve">Characteristics: Who will participate in, use, and/or benefit from the project?  Is there a specific group already asking for this resource? Who?  </w:t>
      </w:r>
    </w:p>
    <w:p w:rsidR="005D210D" w:rsidRDefault="005D210D" w:rsidP="005D210D">
      <w:pPr>
        <w:pStyle w:val="ListParagraph"/>
        <w:numPr>
          <w:ilvl w:val="0"/>
          <w:numId w:val="6"/>
        </w:numPr>
      </w:pPr>
      <w:r>
        <w:t xml:space="preserve">Resources: What are the technical abilities, constraints, and resources of potential project audiences?  </w:t>
      </w:r>
    </w:p>
    <w:p w:rsidR="005D210D" w:rsidRDefault="005D210D" w:rsidP="005D210D">
      <w:pPr>
        <w:pStyle w:val="ListParagraph"/>
        <w:numPr>
          <w:ilvl w:val="0"/>
          <w:numId w:val="6"/>
        </w:numPr>
      </w:pPr>
      <w:r>
        <w:t xml:space="preserve">Relationships: What relationship do my audiences have with our institution(s)? Do we need to build bridges and relationships? </w:t>
      </w:r>
    </w:p>
    <w:p w:rsidR="005D210D" w:rsidRDefault="005D210D" w:rsidP="005D210D">
      <w:pPr>
        <w:pStyle w:val="ListParagraph"/>
        <w:numPr>
          <w:ilvl w:val="0"/>
          <w:numId w:val="6"/>
        </w:numPr>
      </w:pPr>
      <w:r>
        <w:t xml:space="preserve">Primary and Secondary Audience: The “general public” is too general an audience. The more specific your audience is the more likely you are to meet their needs. </w:t>
      </w:r>
    </w:p>
    <w:p w:rsidR="005D210D" w:rsidRDefault="005D210D" w:rsidP="005D210D">
      <w:pPr>
        <w:pStyle w:val="ListParagraph"/>
        <w:numPr>
          <w:ilvl w:val="0"/>
          <w:numId w:val="6"/>
        </w:numPr>
      </w:pPr>
      <w:r>
        <w:t xml:space="preserve">Internal Constituency: Within your organization, what is the key constituency you need to engage, involve and persuade? </w:t>
      </w:r>
    </w:p>
    <w:p w:rsidR="005D210D" w:rsidRDefault="005D210D" w:rsidP="005D210D">
      <w:pPr>
        <w:rPr>
          <w:sz w:val="22"/>
          <w:szCs w:val="22"/>
        </w:rPr>
      </w:pPr>
    </w:p>
    <w:p w:rsidR="005D210D" w:rsidRDefault="005D210D" w:rsidP="005D210D">
      <w:pPr>
        <w:rPr>
          <w:sz w:val="22"/>
          <w:szCs w:val="22"/>
        </w:rPr>
      </w:pPr>
      <w:r>
        <w:rPr>
          <w:sz w:val="22"/>
          <w:szCs w:val="22"/>
        </w:rPr>
        <w:t>Primary audience</w:t>
      </w:r>
    </w:p>
    <w:tbl>
      <w:tblPr>
        <w:tblStyle w:val="TableGrid"/>
        <w:tblW w:w="0" w:type="auto"/>
        <w:jc w:val="center"/>
        <w:tblLook w:val="04A0" w:firstRow="1" w:lastRow="0" w:firstColumn="1" w:lastColumn="0" w:noHBand="0" w:noVBand="1"/>
      </w:tblPr>
      <w:tblGrid>
        <w:gridCol w:w="3192"/>
        <w:gridCol w:w="3192"/>
        <w:gridCol w:w="3192"/>
      </w:tblGrid>
      <w:tr w:rsidR="005D210D" w:rsidTr="00605A51">
        <w:trPr>
          <w:jc w:val="center"/>
        </w:trPr>
        <w:tc>
          <w:tcPr>
            <w:tcW w:w="3192" w:type="dxa"/>
          </w:tcPr>
          <w:p w:rsidR="005D210D" w:rsidRDefault="005D210D" w:rsidP="00605A51">
            <w:r>
              <w:rPr>
                <w:sz w:val="22"/>
                <w:szCs w:val="22"/>
              </w:rPr>
              <w:t>Characteristics</w:t>
            </w:r>
          </w:p>
        </w:tc>
        <w:tc>
          <w:tcPr>
            <w:tcW w:w="3192" w:type="dxa"/>
          </w:tcPr>
          <w:p w:rsidR="005D210D" w:rsidRDefault="005D210D" w:rsidP="00605A51">
            <w:r>
              <w:rPr>
                <w:sz w:val="22"/>
                <w:szCs w:val="22"/>
              </w:rPr>
              <w:t>Resources</w:t>
            </w:r>
          </w:p>
        </w:tc>
        <w:tc>
          <w:tcPr>
            <w:tcW w:w="3192" w:type="dxa"/>
          </w:tcPr>
          <w:p w:rsidR="005D210D" w:rsidRDefault="005D210D" w:rsidP="00605A51">
            <w:r>
              <w:rPr>
                <w:sz w:val="22"/>
                <w:szCs w:val="22"/>
              </w:rPr>
              <w:t>Relationships</w:t>
            </w:r>
          </w:p>
        </w:tc>
      </w:tr>
      <w:tr w:rsidR="005D210D" w:rsidTr="00605A51">
        <w:trPr>
          <w:jc w:val="center"/>
        </w:trPr>
        <w:tc>
          <w:tcPr>
            <w:tcW w:w="3192" w:type="dxa"/>
          </w:tcPr>
          <w:p w:rsidR="005D210D" w:rsidRDefault="005D210D" w:rsidP="005D210D">
            <w:pPr>
              <w:pStyle w:val="ListParagraph"/>
              <w:numPr>
                <w:ilvl w:val="0"/>
                <w:numId w:val="11"/>
              </w:numPr>
            </w:pPr>
            <w:r>
              <w:t>Lifelong Learners</w:t>
            </w:r>
          </w:p>
          <w:p w:rsidR="005D210D" w:rsidRDefault="005D210D" w:rsidP="005D210D">
            <w:pPr>
              <w:pStyle w:val="ListParagraph"/>
              <w:numPr>
                <w:ilvl w:val="0"/>
                <w:numId w:val="8"/>
              </w:numPr>
            </w:pPr>
            <w:r>
              <w:t>Kentucky Horse Park Visitors</w:t>
            </w:r>
          </w:p>
          <w:p w:rsidR="005D210D" w:rsidRDefault="005D210D" w:rsidP="005D210D">
            <w:pPr>
              <w:pStyle w:val="ListParagraph"/>
              <w:numPr>
                <w:ilvl w:val="0"/>
                <w:numId w:val="8"/>
              </w:numPr>
            </w:pPr>
            <w:r>
              <w:t>Kentucky Horse Park Staff</w:t>
            </w:r>
          </w:p>
          <w:p w:rsidR="005D210D" w:rsidRDefault="005D210D" w:rsidP="00605A51"/>
        </w:tc>
        <w:tc>
          <w:tcPr>
            <w:tcW w:w="3192" w:type="dxa"/>
          </w:tcPr>
          <w:p w:rsidR="005D210D" w:rsidRDefault="005D210D" w:rsidP="00605A51">
            <w:r>
              <w:t>These groups have the ability to initiate, grow, or reinforce interest in the relationship between horse and man. They encompass every age, ethnicity, and gender worldwide. These are the groups Museum staff interact with on a daily basis. This makes them the group which could be most influential in the surrounding community of Central Kentucky as well as the worldwide horse community.</w:t>
            </w:r>
          </w:p>
        </w:tc>
        <w:tc>
          <w:tcPr>
            <w:tcW w:w="3192" w:type="dxa"/>
          </w:tcPr>
          <w:p w:rsidR="005D210D" w:rsidRDefault="005D210D" w:rsidP="00605A51">
            <w:r>
              <w:t>These groups classify the people who frequent the Museum on a daily basis. Often AV collections are used within and around the Museum and Park to help with visitor interpretation.</w:t>
            </w:r>
          </w:p>
          <w:p w:rsidR="005D210D" w:rsidRDefault="005D210D" w:rsidP="00605A51">
            <w:r>
              <w:t>It is also not unusual for people from these groups to request Library &amp; Archives access for leisurely perusal in order to learn more about a topic they may have encountered during their visit to the Park.</w:t>
            </w:r>
          </w:p>
        </w:tc>
      </w:tr>
    </w:tbl>
    <w:p w:rsidR="005D210D" w:rsidRDefault="005D210D" w:rsidP="005D210D">
      <w:pPr>
        <w:rPr>
          <w:sz w:val="22"/>
          <w:szCs w:val="22"/>
        </w:rPr>
      </w:pPr>
    </w:p>
    <w:p w:rsidR="005D210D" w:rsidRDefault="005D210D" w:rsidP="005D210D">
      <w:pPr>
        <w:rPr>
          <w:sz w:val="22"/>
          <w:szCs w:val="22"/>
        </w:rPr>
      </w:pPr>
    </w:p>
    <w:p w:rsidR="005D210D" w:rsidRDefault="005D210D" w:rsidP="005D210D">
      <w:pPr>
        <w:rPr>
          <w:sz w:val="22"/>
          <w:szCs w:val="22"/>
        </w:rPr>
      </w:pPr>
      <w:r>
        <w:rPr>
          <w:sz w:val="22"/>
          <w:szCs w:val="22"/>
        </w:rPr>
        <w:t>Secondary audience</w:t>
      </w:r>
    </w:p>
    <w:tbl>
      <w:tblPr>
        <w:tblStyle w:val="TableGrid"/>
        <w:tblW w:w="0" w:type="auto"/>
        <w:jc w:val="center"/>
        <w:tblLook w:val="04A0" w:firstRow="1" w:lastRow="0" w:firstColumn="1" w:lastColumn="0" w:noHBand="0" w:noVBand="1"/>
      </w:tblPr>
      <w:tblGrid>
        <w:gridCol w:w="3192"/>
        <w:gridCol w:w="3192"/>
        <w:gridCol w:w="3192"/>
      </w:tblGrid>
      <w:tr w:rsidR="005D210D" w:rsidTr="00605A51">
        <w:trPr>
          <w:jc w:val="center"/>
        </w:trPr>
        <w:tc>
          <w:tcPr>
            <w:tcW w:w="3192" w:type="dxa"/>
          </w:tcPr>
          <w:p w:rsidR="005D210D" w:rsidRDefault="005D210D" w:rsidP="00605A51">
            <w:r>
              <w:rPr>
                <w:sz w:val="22"/>
                <w:szCs w:val="22"/>
              </w:rPr>
              <w:t>Characteristics</w:t>
            </w:r>
          </w:p>
        </w:tc>
        <w:tc>
          <w:tcPr>
            <w:tcW w:w="3192" w:type="dxa"/>
          </w:tcPr>
          <w:p w:rsidR="005D210D" w:rsidRDefault="005D210D" w:rsidP="00605A51">
            <w:r>
              <w:rPr>
                <w:sz w:val="22"/>
                <w:szCs w:val="22"/>
              </w:rPr>
              <w:t>Resources</w:t>
            </w:r>
          </w:p>
        </w:tc>
        <w:tc>
          <w:tcPr>
            <w:tcW w:w="3192" w:type="dxa"/>
          </w:tcPr>
          <w:p w:rsidR="005D210D" w:rsidRDefault="005D210D" w:rsidP="00605A51">
            <w:r>
              <w:rPr>
                <w:sz w:val="22"/>
                <w:szCs w:val="22"/>
              </w:rPr>
              <w:t>Relationships</w:t>
            </w:r>
          </w:p>
        </w:tc>
      </w:tr>
      <w:tr w:rsidR="005D210D" w:rsidTr="00605A51">
        <w:trPr>
          <w:jc w:val="center"/>
        </w:trPr>
        <w:tc>
          <w:tcPr>
            <w:tcW w:w="3192" w:type="dxa"/>
          </w:tcPr>
          <w:p w:rsidR="005D210D" w:rsidRDefault="005D210D" w:rsidP="005D210D">
            <w:pPr>
              <w:pStyle w:val="ListParagraph"/>
              <w:numPr>
                <w:ilvl w:val="0"/>
                <w:numId w:val="9"/>
              </w:numPr>
            </w:pPr>
            <w:r>
              <w:t>Horse Breeders</w:t>
            </w:r>
          </w:p>
          <w:p w:rsidR="005D210D" w:rsidRDefault="005D210D" w:rsidP="005D210D">
            <w:pPr>
              <w:pStyle w:val="ListParagraph"/>
              <w:numPr>
                <w:ilvl w:val="0"/>
                <w:numId w:val="9"/>
              </w:numPr>
            </w:pPr>
            <w:r>
              <w:t>Horse Owners</w:t>
            </w:r>
          </w:p>
          <w:p w:rsidR="005D210D" w:rsidRDefault="005D210D" w:rsidP="005D210D">
            <w:pPr>
              <w:pStyle w:val="ListParagraph"/>
              <w:numPr>
                <w:ilvl w:val="0"/>
                <w:numId w:val="9"/>
              </w:numPr>
            </w:pPr>
            <w:r>
              <w:t>Equine Scholars</w:t>
            </w:r>
          </w:p>
          <w:p w:rsidR="005D210D" w:rsidRDefault="005D210D" w:rsidP="005D210D">
            <w:pPr>
              <w:pStyle w:val="ListParagraph"/>
              <w:numPr>
                <w:ilvl w:val="0"/>
                <w:numId w:val="9"/>
              </w:numPr>
            </w:pPr>
            <w:r>
              <w:t>Equine Organizations</w:t>
            </w:r>
          </w:p>
          <w:p w:rsidR="005D210D" w:rsidRDefault="005D210D" w:rsidP="005D210D">
            <w:pPr>
              <w:pStyle w:val="ListParagraph"/>
              <w:numPr>
                <w:ilvl w:val="0"/>
                <w:numId w:val="9"/>
              </w:numPr>
            </w:pPr>
            <w:r>
              <w:t>Scientists</w:t>
            </w:r>
          </w:p>
          <w:p w:rsidR="005D210D" w:rsidRDefault="005D210D" w:rsidP="00605A51"/>
        </w:tc>
        <w:tc>
          <w:tcPr>
            <w:tcW w:w="3192" w:type="dxa"/>
          </w:tcPr>
          <w:p w:rsidR="005D210D" w:rsidRDefault="005D210D" w:rsidP="00605A51">
            <w:r>
              <w:t>These groups have the ability to use our resources to disperse information both professionally and scholarly.</w:t>
            </w:r>
          </w:p>
          <w:p w:rsidR="005D210D" w:rsidRDefault="005D210D" w:rsidP="00605A51">
            <w:r>
              <w:t xml:space="preserve">They have the potential to take information which we hold and use it to support their hypotheses and improve the </w:t>
            </w:r>
            <w:r>
              <w:lastRenderedPageBreak/>
              <w:t>field of equine knowledge.</w:t>
            </w:r>
          </w:p>
          <w:p w:rsidR="005D210D" w:rsidRDefault="005D210D" w:rsidP="00605A51">
            <w:r>
              <w:t xml:space="preserve">However, their knowledge may be limited to </w:t>
            </w:r>
            <w:proofErr w:type="spellStart"/>
            <w:r>
              <w:t>like minded</w:t>
            </w:r>
            <w:proofErr w:type="spellEnd"/>
            <w:r>
              <w:t xml:space="preserve"> individuals and organizations.</w:t>
            </w:r>
          </w:p>
        </w:tc>
        <w:tc>
          <w:tcPr>
            <w:tcW w:w="3192" w:type="dxa"/>
          </w:tcPr>
          <w:p w:rsidR="005D210D" w:rsidRDefault="005D210D" w:rsidP="00605A51">
            <w:r>
              <w:lastRenderedPageBreak/>
              <w:t>These groups classify the people and organizations which use the Library and Archives most exclusively for research aside from Museum staff.</w:t>
            </w:r>
          </w:p>
          <w:p w:rsidR="005D210D" w:rsidRDefault="005D210D" w:rsidP="00605A51">
            <w:r>
              <w:t xml:space="preserve">The Museum &amp; Archives are constantly working at building </w:t>
            </w:r>
            <w:r>
              <w:lastRenderedPageBreak/>
              <w:t>stronger relationships with these groups as well.</w:t>
            </w:r>
          </w:p>
        </w:tc>
      </w:tr>
    </w:tbl>
    <w:p w:rsidR="005D210D" w:rsidRDefault="005D210D" w:rsidP="005D210D">
      <w:pPr>
        <w:rPr>
          <w:sz w:val="22"/>
          <w:szCs w:val="22"/>
        </w:rPr>
      </w:pPr>
    </w:p>
    <w:p w:rsidR="005D210D" w:rsidRDefault="005D210D" w:rsidP="005D210D">
      <w:pPr>
        <w:rPr>
          <w:sz w:val="22"/>
          <w:szCs w:val="22"/>
        </w:rPr>
      </w:pPr>
    </w:p>
    <w:p w:rsidR="005D210D" w:rsidRDefault="005D210D" w:rsidP="005D210D">
      <w:pPr>
        <w:rPr>
          <w:sz w:val="22"/>
          <w:szCs w:val="22"/>
        </w:rPr>
      </w:pPr>
      <w:r>
        <w:rPr>
          <w:sz w:val="22"/>
          <w:szCs w:val="22"/>
        </w:rPr>
        <w:t>Internal constituency</w:t>
      </w:r>
    </w:p>
    <w:p w:rsidR="005D210D" w:rsidRDefault="005D210D" w:rsidP="005D210D">
      <w:pPr>
        <w:rPr>
          <w:sz w:val="22"/>
          <w:szCs w:val="22"/>
        </w:rPr>
      </w:pPr>
    </w:p>
    <w:tbl>
      <w:tblPr>
        <w:tblStyle w:val="TableGrid"/>
        <w:tblW w:w="0" w:type="auto"/>
        <w:jc w:val="center"/>
        <w:tblLook w:val="04A0" w:firstRow="1" w:lastRow="0" w:firstColumn="1" w:lastColumn="0" w:noHBand="0" w:noVBand="1"/>
      </w:tblPr>
      <w:tblGrid>
        <w:gridCol w:w="3192"/>
        <w:gridCol w:w="3192"/>
        <w:gridCol w:w="3192"/>
      </w:tblGrid>
      <w:tr w:rsidR="005D210D" w:rsidTr="00605A51">
        <w:trPr>
          <w:jc w:val="center"/>
        </w:trPr>
        <w:tc>
          <w:tcPr>
            <w:tcW w:w="3192" w:type="dxa"/>
          </w:tcPr>
          <w:p w:rsidR="005D210D" w:rsidRDefault="005D210D" w:rsidP="00605A51">
            <w:r>
              <w:rPr>
                <w:sz w:val="22"/>
                <w:szCs w:val="22"/>
              </w:rPr>
              <w:t>Characteristics</w:t>
            </w:r>
          </w:p>
        </w:tc>
        <w:tc>
          <w:tcPr>
            <w:tcW w:w="3192" w:type="dxa"/>
          </w:tcPr>
          <w:p w:rsidR="005D210D" w:rsidRDefault="005D210D" w:rsidP="00605A51">
            <w:r>
              <w:rPr>
                <w:sz w:val="22"/>
                <w:szCs w:val="22"/>
              </w:rPr>
              <w:t>Resources</w:t>
            </w:r>
          </w:p>
        </w:tc>
        <w:tc>
          <w:tcPr>
            <w:tcW w:w="3192" w:type="dxa"/>
          </w:tcPr>
          <w:p w:rsidR="005D210D" w:rsidRDefault="005D210D" w:rsidP="00605A51">
            <w:r>
              <w:rPr>
                <w:sz w:val="22"/>
                <w:szCs w:val="22"/>
              </w:rPr>
              <w:t>Relationships</w:t>
            </w:r>
          </w:p>
        </w:tc>
      </w:tr>
      <w:tr w:rsidR="005D210D" w:rsidTr="00605A51">
        <w:trPr>
          <w:jc w:val="center"/>
        </w:trPr>
        <w:tc>
          <w:tcPr>
            <w:tcW w:w="3192" w:type="dxa"/>
          </w:tcPr>
          <w:p w:rsidR="005D210D" w:rsidRDefault="005D210D" w:rsidP="005D210D">
            <w:pPr>
              <w:pStyle w:val="ListParagraph"/>
              <w:numPr>
                <w:ilvl w:val="0"/>
                <w:numId w:val="10"/>
              </w:numPr>
            </w:pPr>
            <w:r>
              <w:t>Archive and Museum Professionals</w:t>
            </w:r>
          </w:p>
          <w:p w:rsidR="005D210D" w:rsidRDefault="005D210D" w:rsidP="005D210D">
            <w:pPr>
              <w:pStyle w:val="ListParagraph"/>
              <w:numPr>
                <w:ilvl w:val="0"/>
                <w:numId w:val="10"/>
              </w:numPr>
            </w:pPr>
            <w:r>
              <w:t>Institutional Interns &amp; Volunteers</w:t>
            </w:r>
          </w:p>
          <w:p w:rsidR="005D210D" w:rsidRDefault="005D210D" w:rsidP="005D210D">
            <w:pPr>
              <w:pStyle w:val="ListParagraph"/>
              <w:numPr>
                <w:ilvl w:val="0"/>
                <w:numId w:val="7"/>
              </w:numPr>
            </w:pPr>
            <w:r>
              <w:t>Kentucky Horse Park Staff</w:t>
            </w:r>
          </w:p>
          <w:p w:rsidR="005D210D" w:rsidRDefault="005D210D" w:rsidP="005D210D">
            <w:pPr>
              <w:pStyle w:val="ListParagraph"/>
              <w:numPr>
                <w:ilvl w:val="0"/>
                <w:numId w:val="7"/>
              </w:numPr>
            </w:pPr>
            <w:r>
              <w:t>Conservators</w:t>
            </w:r>
          </w:p>
          <w:p w:rsidR="005D210D" w:rsidRDefault="005D210D" w:rsidP="00605A51"/>
        </w:tc>
        <w:tc>
          <w:tcPr>
            <w:tcW w:w="3192" w:type="dxa"/>
          </w:tcPr>
          <w:p w:rsidR="005D210D" w:rsidRDefault="005D210D" w:rsidP="00605A51">
            <w:r>
              <w:t>These are the professionals which work directly with the collections. They also include students and lifelong learners with an interest in Museum, Library, &amp; Archive work.</w:t>
            </w:r>
          </w:p>
          <w:p w:rsidR="005D210D" w:rsidRDefault="005D210D" w:rsidP="00605A51">
            <w:r>
              <w:t>These groups have the ability to preserve and aid in collections access. They are also the groups held responsible for collections care and oversight.</w:t>
            </w:r>
          </w:p>
        </w:tc>
        <w:tc>
          <w:tcPr>
            <w:tcW w:w="3192" w:type="dxa"/>
          </w:tcPr>
          <w:p w:rsidR="005D210D" w:rsidRDefault="005D210D" w:rsidP="00605A51">
            <w:r>
              <w:t>These groups represent the professionals which work with the collections daily.</w:t>
            </w:r>
          </w:p>
          <w:p w:rsidR="005D210D" w:rsidRDefault="005D210D" w:rsidP="00605A51">
            <w:r>
              <w:t>We would like to encourage more use of our facilities by Park staff.</w:t>
            </w:r>
          </w:p>
          <w:p w:rsidR="005D210D" w:rsidRDefault="005D210D" w:rsidP="00605A51">
            <w:r>
              <w:t>It would be beneficial for us to strengthen our relationships with conservators who specialize in Archival materials.</w:t>
            </w:r>
          </w:p>
        </w:tc>
      </w:tr>
    </w:tbl>
    <w:p w:rsidR="005D210D" w:rsidRDefault="005D210D" w:rsidP="005D210D">
      <w:pPr>
        <w:pStyle w:val="ListParagraph"/>
      </w:pPr>
      <w:bookmarkStart w:id="0" w:name="_GoBack"/>
      <w:bookmarkEnd w:id="0"/>
    </w:p>
    <w:sectPr w:rsidR="005D210D" w:rsidSect="00B30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24BFE"/>
    <w:multiLevelType w:val="hybridMultilevel"/>
    <w:tmpl w:val="D52EE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9224A"/>
    <w:multiLevelType w:val="hybridMultilevel"/>
    <w:tmpl w:val="61046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612874"/>
    <w:multiLevelType w:val="hybridMultilevel"/>
    <w:tmpl w:val="3474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FC51EC"/>
    <w:multiLevelType w:val="hybridMultilevel"/>
    <w:tmpl w:val="05E8008E"/>
    <w:lvl w:ilvl="0" w:tplc="9D1CDD32">
      <w:start w:val="1"/>
      <w:numFmt w:val="bullet"/>
      <w:lvlText w:val="•"/>
      <w:lvlJc w:val="left"/>
      <w:pPr>
        <w:tabs>
          <w:tab w:val="num" w:pos="720"/>
        </w:tabs>
        <w:ind w:left="720" w:hanging="360"/>
      </w:pPr>
      <w:rPr>
        <w:rFonts w:ascii="Arial" w:hAnsi="Arial" w:hint="default"/>
      </w:rPr>
    </w:lvl>
    <w:lvl w:ilvl="1" w:tplc="4F7CB00E" w:tentative="1">
      <w:start w:val="1"/>
      <w:numFmt w:val="bullet"/>
      <w:lvlText w:val="•"/>
      <w:lvlJc w:val="left"/>
      <w:pPr>
        <w:tabs>
          <w:tab w:val="num" w:pos="1440"/>
        </w:tabs>
        <w:ind w:left="1440" w:hanging="360"/>
      </w:pPr>
      <w:rPr>
        <w:rFonts w:ascii="Arial" w:hAnsi="Arial" w:hint="default"/>
      </w:rPr>
    </w:lvl>
    <w:lvl w:ilvl="2" w:tplc="819A5D92" w:tentative="1">
      <w:start w:val="1"/>
      <w:numFmt w:val="bullet"/>
      <w:lvlText w:val="•"/>
      <w:lvlJc w:val="left"/>
      <w:pPr>
        <w:tabs>
          <w:tab w:val="num" w:pos="2160"/>
        </w:tabs>
        <w:ind w:left="2160" w:hanging="360"/>
      </w:pPr>
      <w:rPr>
        <w:rFonts w:ascii="Arial" w:hAnsi="Arial" w:hint="default"/>
      </w:rPr>
    </w:lvl>
    <w:lvl w:ilvl="3" w:tplc="0C42BB0C" w:tentative="1">
      <w:start w:val="1"/>
      <w:numFmt w:val="bullet"/>
      <w:lvlText w:val="•"/>
      <w:lvlJc w:val="left"/>
      <w:pPr>
        <w:tabs>
          <w:tab w:val="num" w:pos="2880"/>
        </w:tabs>
        <w:ind w:left="2880" w:hanging="360"/>
      </w:pPr>
      <w:rPr>
        <w:rFonts w:ascii="Arial" w:hAnsi="Arial" w:hint="default"/>
      </w:rPr>
    </w:lvl>
    <w:lvl w:ilvl="4" w:tplc="3D788624" w:tentative="1">
      <w:start w:val="1"/>
      <w:numFmt w:val="bullet"/>
      <w:lvlText w:val="•"/>
      <w:lvlJc w:val="left"/>
      <w:pPr>
        <w:tabs>
          <w:tab w:val="num" w:pos="3600"/>
        </w:tabs>
        <w:ind w:left="3600" w:hanging="360"/>
      </w:pPr>
      <w:rPr>
        <w:rFonts w:ascii="Arial" w:hAnsi="Arial" w:hint="default"/>
      </w:rPr>
    </w:lvl>
    <w:lvl w:ilvl="5" w:tplc="86B44E2C" w:tentative="1">
      <w:start w:val="1"/>
      <w:numFmt w:val="bullet"/>
      <w:lvlText w:val="•"/>
      <w:lvlJc w:val="left"/>
      <w:pPr>
        <w:tabs>
          <w:tab w:val="num" w:pos="4320"/>
        </w:tabs>
        <w:ind w:left="4320" w:hanging="360"/>
      </w:pPr>
      <w:rPr>
        <w:rFonts w:ascii="Arial" w:hAnsi="Arial" w:hint="default"/>
      </w:rPr>
    </w:lvl>
    <w:lvl w:ilvl="6" w:tplc="70062284" w:tentative="1">
      <w:start w:val="1"/>
      <w:numFmt w:val="bullet"/>
      <w:lvlText w:val="•"/>
      <w:lvlJc w:val="left"/>
      <w:pPr>
        <w:tabs>
          <w:tab w:val="num" w:pos="5040"/>
        </w:tabs>
        <w:ind w:left="5040" w:hanging="360"/>
      </w:pPr>
      <w:rPr>
        <w:rFonts w:ascii="Arial" w:hAnsi="Arial" w:hint="default"/>
      </w:rPr>
    </w:lvl>
    <w:lvl w:ilvl="7" w:tplc="9B0E1694" w:tentative="1">
      <w:start w:val="1"/>
      <w:numFmt w:val="bullet"/>
      <w:lvlText w:val="•"/>
      <w:lvlJc w:val="left"/>
      <w:pPr>
        <w:tabs>
          <w:tab w:val="num" w:pos="5760"/>
        </w:tabs>
        <w:ind w:left="5760" w:hanging="360"/>
      </w:pPr>
      <w:rPr>
        <w:rFonts w:ascii="Arial" w:hAnsi="Arial" w:hint="default"/>
      </w:rPr>
    </w:lvl>
    <w:lvl w:ilvl="8" w:tplc="8012BCAE" w:tentative="1">
      <w:start w:val="1"/>
      <w:numFmt w:val="bullet"/>
      <w:lvlText w:val="•"/>
      <w:lvlJc w:val="left"/>
      <w:pPr>
        <w:tabs>
          <w:tab w:val="num" w:pos="6480"/>
        </w:tabs>
        <w:ind w:left="6480" w:hanging="360"/>
      </w:pPr>
      <w:rPr>
        <w:rFonts w:ascii="Arial" w:hAnsi="Arial" w:hint="default"/>
      </w:rPr>
    </w:lvl>
  </w:abstractNum>
  <w:abstractNum w:abstractNumId="4">
    <w:nsid w:val="30457F63"/>
    <w:multiLevelType w:val="hybridMultilevel"/>
    <w:tmpl w:val="CAE4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4E2071"/>
    <w:multiLevelType w:val="hybridMultilevel"/>
    <w:tmpl w:val="8A08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6455C9"/>
    <w:multiLevelType w:val="hybridMultilevel"/>
    <w:tmpl w:val="A09AAC76"/>
    <w:lvl w:ilvl="0" w:tplc="9E709B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0209A"/>
    <w:multiLevelType w:val="hybridMultilevel"/>
    <w:tmpl w:val="F1F28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A70E81"/>
    <w:multiLevelType w:val="hybridMultilevel"/>
    <w:tmpl w:val="280E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A51F73"/>
    <w:multiLevelType w:val="hybridMultilevel"/>
    <w:tmpl w:val="61F0C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277B75"/>
    <w:multiLevelType w:val="hybridMultilevel"/>
    <w:tmpl w:val="1E80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10"/>
  </w:num>
  <w:num w:numId="5">
    <w:abstractNumId w:val="9"/>
  </w:num>
  <w:num w:numId="6">
    <w:abstractNumId w:val="6"/>
  </w:num>
  <w:num w:numId="7">
    <w:abstractNumId w:val="4"/>
  </w:num>
  <w:num w:numId="8">
    <w:abstractNumId w:val="8"/>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F6DB7"/>
    <w:rsid w:val="000411A2"/>
    <w:rsid w:val="00045839"/>
    <w:rsid w:val="000B4542"/>
    <w:rsid w:val="0014517C"/>
    <w:rsid w:val="001A4054"/>
    <w:rsid w:val="004B419F"/>
    <w:rsid w:val="005D210D"/>
    <w:rsid w:val="00630739"/>
    <w:rsid w:val="00792D4A"/>
    <w:rsid w:val="008F6DB7"/>
    <w:rsid w:val="0091489C"/>
    <w:rsid w:val="00A0075C"/>
    <w:rsid w:val="00AB6AD6"/>
    <w:rsid w:val="00AF6897"/>
    <w:rsid w:val="00B30303"/>
    <w:rsid w:val="00B50978"/>
    <w:rsid w:val="00B65B41"/>
    <w:rsid w:val="00BD7CB2"/>
    <w:rsid w:val="00C34A12"/>
    <w:rsid w:val="00D64F00"/>
    <w:rsid w:val="00D76F02"/>
    <w:rsid w:val="00E3643D"/>
    <w:rsid w:val="00E616F6"/>
    <w:rsid w:val="00EA7FDC"/>
    <w:rsid w:val="00F4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7CF3B8-6CBF-471D-B37F-E9DB98E2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542"/>
    <w:rPr>
      <w:rFonts w:ascii="Times New Roman" w:hAnsi="Times New Roman"/>
      <w:sz w:val="24"/>
      <w:szCs w:val="24"/>
    </w:rPr>
  </w:style>
  <w:style w:type="paragraph" w:styleId="Heading1">
    <w:name w:val="heading 1"/>
    <w:basedOn w:val="Normal"/>
    <w:next w:val="Normal"/>
    <w:link w:val="Heading1Char"/>
    <w:uiPriority w:val="9"/>
    <w:qFormat/>
    <w:rsid w:val="000B4542"/>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semiHidden/>
    <w:unhideWhenUsed/>
    <w:qFormat/>
    <w:rsid w:val="000B4542"/>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rPr>
  </w:style>
  <w:style w:type="paragraph" w:styleId="Heading3">
    <w:name w:val="heading 3"/>
    <w:basedOn w:val="Normal"/>
    <w:next w:val="Normal"/>
    <w:link w:val="Heading3Char"/>
    <w:uiPriority w:val="9"/>
    <w:semiHidden/>
    <w:unhideWhenUsed/>
    <w:qFormat/>
    <w:rsid w:val="000B4542"/>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rPr>
  </w:style>
  <w:style w:type="paragraph" w:styleId="Heading4">
    <w:name w:val="heading 4"/>
    <w:basedOn w:val="Normal"/>
    <w:next w:val="Normal"/>
    <w:link w:val="Heading4Char"/>
    <w:uiPriority w:val="9"/>
    <w:semiHidden/>
    <w:unhideWhenUsed/>
    <w:qFormat/>
    <w:rsid w:val="000B4542"/>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rPr>
  </w:style>
  <w:style w:type="paragraph" w:styleId="Heading5">
    <w:name w:val="heading 5"/>
    <w:basedOn w:val="Normal"/>
    <w:next w:val="Normal"/>
    <w:link w:val="Heading5Char"/>
    <w:uiPriority w:val="9"/>
    <w:semiHidden/>
    <w:unhideWhenUsed/>
    <w:qFormat/>
    <w:rsid w:val="000B4542"/>
    <w:pPr>
      <w:spacing w:before="200" w:after="80"/>
      <w:outlineLvl w:val="4"/>
    </w:pPr>
    <w:rPr>
      <w:rFonts w:asciiTheme="majorHAnsi" w:eastAsiaTheme="majorEastAsia" w:hAnsiTheme="majorHAnsi" w:cstheme="majorBidi"/>
      <w:color w:val="4F81BD" w:themeColor="accent1"/>
      <w:sz w:val="22"/>
      <w:szCs w:val="22"/>
    </w:rPr>
  </w:style>
  <w:style w:type="paragraph" w:styleId="Heading6">
    <w:name w:val="heading 6"/>
    <w:basedOn w:val="Normal"/>
    <w:next w:val="Normal"/>
    <w:link w:val="Heading6Char"/>
    <w:uiPriority w:val="9"/>
    <w:semiHidden/>
    <w:unhideWhenUsed/>
    <w:qFormat/>
    <w:rsid w:val="000B4542"/>
    <w:pPr>
      <w:spacing w:before="280" w:after="100"/>
      <w:outlineLvl w:val="5"/>
    </w:pPr>
    <w:rPr>
      <w:rFonts w:asciiTheme="majorHAnsi" w:eastAsiaTheme="majorEastAsia" w:hAnsiTheme="majorHAnsi" w:cstheme="majorBidi"/>
      <w:i/>
      <w:iCs/>
      <w:color w:val="4F81BD" w:themeColor="accent1"/>
      <w:sz w:val="22"/>
      <w:szCs w:val="22"/>
    </w:rPr>
  </w:style>
  <w:style w:type="paragraph" w:styleId="Heading7">
    <w:name w:val="heading 7"/>
    <w:basedOn w:val="Normal"/>
    <w:next w:val="Normal"/>
    <w:link w:val="Heading7Char"/>
    <w:uiPriority w:val="9"/>
    <w:semiHidden/>
    <w:unhideWhenUsed/>
    <w:qFormat/>
    <w:rsid w:val="000B4542"/>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0B4542"/>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0B4542"/>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542"/>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0B4542"/>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0B4542"/>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0B4542"/>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0B4542"/>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0B4542"/>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0B4542"/>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0B4542"/>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0B4542"/>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0B4542"/>
    <w:rPr>
      <w:rFonts w:cs="Times New Roman"/>
      <w:b/>
      <w:bCs/>
      <w:sz w:val="18"/>
      <w:szCs w:val="18"/>
    </w:rPr>
  </w:style>
  <w:style w:type="paragraph" w:styleId="Title">
    <w:name w:val="Title"/>
    <w:basedOn w:val="Normal"/>
    <w:next w:val="Normal"/>
    <w:link w:val="TitleChar"/>
    <w:uiPriority w:val="10"/>
    <w:qFormat/>
    <w:rsid w:val="000B4542"/>
    <w:pPr>
      <w:pBdr>
        <w:top w:val="single" w:sz="8" w:space="10" w:color="A7BFDE" w:themeColor="accent1" w:themeTint="7F"/>
        <w:bottom w:val="single" w:sz="24" w:space="15" w:color="9BBB59" w:themeColor="accent3"/>
      </w:pBdr>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0B4542"/>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0B4542"/>
    <w:pPr>
      <w:spacing w:before="200" w:after="900"/>
      <w:jc w:val="right"/>
    </w:pPr>
    <w:rPr>
      <w:rFonts w:asciiTheme="minorHAnsi" w:hAnsiTheme="minorHAnsi"/>
      <w:i/>
      <w:iCs/>
    </w:rPr>
  </w:style>
  <w:style w:type="character" w:customStyle="1" w:styleId="SubtitleChar">
    <w:name w:val="Subtitle Char"/>
    <w:basedOn w:val="DefaultParagraphFont"/>
    <w:link w:val="Subtitle"/>
    <w:uiPriority w:val="11"/>
    <w:rsid w:val="000B4542"/>
    <w:rPr>
      <w:i/>
      <w:iCs/>
      <w:sz w:val="24"/>
      <w:szCs w:val="24"/>
    </w:rPr>
  </w:style>
  <w:style w:type="character" w:styleId="Strong">
    <w:name w:val="Strong"/>
    <w:basedOn w:val="DefaultParagraphFont"/>
    <w:uiPriority w:val="22"/>
    <w:qFormat/>
    <w:rsid w:val="000B4542"/>
    <w:rPr>
      <w:b/>
      <w:bCs/>
      <w:spacing w:val="0"/>
    </w:rPr>
  </w:style>
  <w:style w:type="character" w:styleId="Emphasis">
    <w:name w:val="Emphasis"/>
    <w:uiPriority w:val="20"/>
    <w:qFormat/>
    <w:rsid w:val="000B4542"/>
    <w:rPr>
      <w:b/>
      <w:bCs/>
      <w:i/>
      <w:iCs/>
      <w:color w:val="5A5A5A" w:themeColor="text1" w:themeTint="A5"/>
    </w:rPr>
  </w:style>
  <w:style w:type="paragraph" w:styleId="NoSpacing">
    <w:name w:val="No Spacing"/>
    <w:basedOn w:val="Normal"/>
    <w:link w:val="NoSpacingChar"/>
    <w:uiPriority w:val="1"/>
    <w:qFormat/>
    <w:rsid w:val="000B4542"/>
    <w:rPr>
      <w:rFonts w:asciiTheme="minorHAnsi" w:hAnsiTheme="minorHAnsi"/>
      <w:sz w:val="22"/>
      <w:szCs w:val="22"/>
    </w:rPr>
  </w:style>
  <w:style w:type="character" w:customStyle="1" w:styleId="NoSpacingChar">
    <w:name w:val="No Spacing Char"/>
    <w:basedOn w:val="DefaultParagraphFont"/>
    <w:link w:val="NoSpacing"/>
    <w:uiPriority w:val="1"/>
    <w:rsid w:val="000B4542"/>
  </w:style>
  <w:style w:type="paragraph" w:styleId="ListParagraph">
    <w:name w:val="List Paragraph"/>
    <w:basedOn w:val="Normal"/>
    <w:uiPriority w:val="34"/>
    <w:qFormat/>
    <w:rsid w:val="000B4542"/>
    <w:pPr>
      <w:ind w:left="720"/>
      <w:contextualSpacing/>
    </w:pPr>
    <w:rPr>
      <w:rFonts w:cs="Times New Roman"/>
    </w:rPr>
  </w:style>
  <w:style w:type="paragraph" w:styleId="Quote">
    <w:name w:val="Quote"/>
    <w:basedOn w:val="Normal"/>
    <w:next w:val="Normal"/>
    <w:link w:val="QuoteChar"/>
    <w:uiPriority w:val="29"/>
    <w:qFormat/>
    <w:rsid w:val="000B4542"/>
    <w:rPr>
      <w:rFonts w:asciiTheme="majorHAnsi" w:eastAsiaTheme="majorEastAsia" w:hAnsiTheme="majorHAnsi" w:cstheme="majorBidi"/>
      <w:i/>
      <w:iCs/>
      <w:color w:val="5A5A5A" w:themeColor="text1" w:themeTint="A5"/>
      <w:sz w:val="22"/>
      <w:szCs w:val="22"/>
    </w:rPr>
  </w:style>
  <w:style w:type="character" w:customStyle="1" w:styleId="QuoteChar">
    <w:name w:val="Quote Char"/>
    <w:basedOn w:val="DefaultParagraphFont"/>
    <w:link w:val="Quote"/>
    <w:uiPriority w:val="29"/>
    <w:rsid w:val="000B4542"/>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0B4542"/>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0B4542"/>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0B4542"/>
    <w:rPr>
      <w:i/>
      <w:iCs/>
      <w:color w:val="5A5A5A" w:themeColor="text1" w:themeTint="A5"/>
    </w:rPr>
  </w:style>
  <w:style w:type="character" w:styleId="IntenseEmphasis">
    <w:name w:val="Intense Emphasis"/>
    <w:uiPriority w:val="21"/>
    <w:qFormat/>
    <w:rsid w:val="000B4542"/>
    <w:rPr>
      <w:b/>
      <w:bCs/>
      <w:i/>
      <w:iCs/>
      <w:color w:val="4F81BD" w:themeColor="accent1"/>
      <w:sz w:val="22"/>
      <w:szCs w:val="22"/>
    </w:rPr>
  </w:style>
  <w:style w:type="character" w:styleId="SubtleReference">
    <w:name w:val="Subtle Reference"/>
    <w:uiPriority w:val="31"/>
    <w:qFormat/>
    <w:rsid w:val="000B4542"/>
    <w:rPr>
      <w:color w:val="auto"/>
      <w:u w:val="single" w:color="9BBB59" w:themeColor="accent3"/>
    </w:rPr>
  </w:style>
  <w:style w:type="character" w:styleId="IntenseReference">
    <w:name w:val="Intense Reference"/>
    <w:basedOn w:val="DefaultParagraphFont"/>
    <w:uiPriority w:val="32"/>
    <w:qFormat/>
    <w:rsid w:val="000B4542"/>
    <w:rPr>
      <w:b/>
      <w:bCs/>
      <w:color w:val="76923C" w:themeColor="accent3" w:themeShade="BF"/>
      <w:u w:val="single" w:color="9BBB59" w:themeColor="accent3"/>
    </w:rPr>
  </w:style>
  <w:style w:type="character" w:styleId="BookTitle">
    <w:name w:val="Book Title"/>
    <w:basedOn w:val="DefaultParagraphFont"/>
    <w:uiPriority w:val="33"/>
    <w:qFormat/>
    <w:rsid w:val="000B4542"/>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0B4542"/>
    <w:pPr>
      <w:outlineLvl w:val="9"/>
    </w:pPr>
    <w:rPr>
      <w:lang w:bidi="en-US"/>
    </w:rPr>
  </w:style>
  <w:style w:type="paragraph" w:styleId="BalloonText">
    <w:name w:val="Balloon Text"/>
    <w:basedOn w:val="Normal"/>
    <w:link w:val="BalloonTextChar"/>
    <w:uiPriority w:val="99"/>
    <w:semiHidden/>
    <w:unhideWhenUsed/>
    <w:rsid w:val="008F6DB7"/>
    <w:rPr>
      <w:rFonts w:ascii="Tahoma" w:hAnsi="Tahoma" w:cs="Tahoma"/>
      <w:sz w:val="16"/>
      <w:szCs w:val="16"/>
    </w:rPr>
  </w:style>
  <w:style w:type="character" w:customStyle="1" w:styleId="BalloonTextChar">
    <w:name w:val="Balloon Text Char"/>
    <w:basedOn w:val="DefaultParagraphFont"/>
    <w:link w:val="BalloonText"/>
    <w:uiPriority w:val="99"/>
    <w:semiHidden/>
    <w:rsid w:val="008F6DB7"/>
    <w:rPr>
      <w:rFonts w:ascii="Tahoma" w:hAnsi="Tahoma" w:cs="Tahoma"/>
      <w:sz w:val="16"/>
      <w:szCs w:val="16"/>
    </w:rPr>
  </w:style>
  <w:style w:type="table" w:styleId="TableGrid">
    <w:name w:val="Table Grid"/>
    <w:basedOn w:val="TableNormal"/>
    <w:uiPriority w:val="59"/>
    <w:rsid w:val="005D2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179434">
      <w:bodyDiv w:val="1"/>
      <w:marLeft w:val="0"/>
      <w:marRight w:val="0"/>
      <w:marTop w:val="0"/>
      <w:marBottom w:val="0"/>
      <w:divBdr>
        <w:top w:val="none" w:sz="0" w:space="0" w:color="auto"/>
        <w:left w:val="none" w:sz="0" w:space="0" w:color="auto"/>
        <w:bottom w:val="none" w:sz="0" w:space="0" w:color="auto"/>
        <w:right w:val="none" w:sz="0" w:space="0" w:color="auto"/>
      </w:divBdr>
      <w:divsChild>
        <w:div w:id="2034501341">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Horton</dc:creator>
  <cp:lastModifiedBy>Peterson,Jennifer</cp:lastModifiedBy>
  <cp:revision>2</cp:revision>
  <cp:lastPrinted>2015-02-04T18:53:00Z</cp:lastPrinted>
  <dcterms:created xsi:type="dcterms:W3CDTF">2015-02-18T22:30:00Z</dcterms:created>
  <dcterms:modified xsi:type="dcterms:W3CDTF">2015-02-18T22:30:00Z</dcterms:modified>
</cp:coreProperties>
</file>