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C3" w:rsidRPr="00AA251F" w:rsidRDefault="00A76B99" w:rsidP="00BF4D12">
      <w:pPr>
        <w:pStyle w:val="Title"/>
        <w:jc w:val="center"/>
        <w:rPr>
          <w:rFonts w:asciiTheme="minorHAnsi" w:hAnsiTheme="minorHAnsi"/>
          <w:b/>
          <w:color w:val="0F243E" w:themeColor="text2" w:themeShade="80"/>
          <w:sz w:val="56"/>
        </w:rPr>
      </w:pPr>
      <w:r w:rsidRPr="00AA251F">
        <w:rPr>
          <w:rFonts w:asciiTheme="minorHAnsi" w:hAnsiTheme="minorHAnsi"/>
          <w:b/>
          <w:color w:val="0F243E" w:themeColor="text2" w:themeShade="80"/>
          <w:sz w:val="48"/>
        </w:rPr>
        <w:t xml:space="preserve">Library CE Institute Workshop: </w:t>
      </w:r>
      <w:r w:rsidR="00BF4D12" w:rsidRPr="00AA251F">
        <w:rPr>
          <w:rFonts w:asciiTheme="minorHAnsi" w:hAnsiTheme="minorHAnsi"/>
          <w:b/>
          <w:color w:val="0F243E" w:themeColor="text2" w:themeShade="80"/>
          <w:sz w:val="56"/>
        </w:rPr>
        <w:br/>
      </w:r>
      <w:r w:rsidR="00FB739A" w:rsidRPr="00AA251F">
        <w:rPr>
          <w:rFonts w:asciiTheme="minorHAnsi" w:hAnsiTheme="minorHAnsi"/>
          <w:b/>
          <w:color w:val="0F243E" w:themeColor="text2" w:themeShade="80"/>
          <w:sz w:val="48"/>
        </w:rPr>
        <w:t>Cou</w:t>
      </w:r>
      <w:r w:rsidR="007629AF" w:rsidRPr="00AA251F">
        <w:rPr>
          <w:rFonts w:asciiTheme="minorHAnsi" w:hAnsiTheme="minorHAnsi"/>
          <w:b/>
          <w:color w:val="0F243E" w:themeColor="text2" w:themeShade="80"/>
          <w:sz w:val="48"/>
        </w:rPr>
        <w:t>rse Development Workbook</w:t>
      </w:r>
    </w:p>
    <w:p w:rsidR="005D360D" w:rsidRPr="00A07389" w:rsidRDefault="00A07389" w:rsidP="00A07389">
      <w:pPr>
        <w:rPr>
          <w:sz w:val="28"/>
        </w:rPr>
      </w:pPr>
      <w:r w:rsidRPr="00A07389">
        <w:rPr>
          <w:sz w:val="28"/>
        </w:rPr>
        <w:t xml:space="preserve">The instructional designer </w:t>
      </w:r>
      <w:r w:rsidRPr="009F6024">
        <w:rPr>
          <w:b/>
          <w:color w:val="31849B" w:themeColor="accent5" w:themeShade="BF"/>
          <w:sz w:val="28"/>
        </w:rPr>
        <w:t>crafts</w:t>
      </w:r>
      <w:r w:rsidRPr="00A07389">
        <w:rPr>
          <w:sz w:val="28"/>
        </w:rPr>
        <w:t xml:space="preserve"> a learning </w:t>
      </w:r>
      <w:r w:rsidRPr="009F6024">
        <w:rPr>
          <w:b/>
          <w:color w:val="31849B" w:themeColor="accent5" w:themeShade="BF"/>
          <w:sz w:val="28"/>
        </w:rPr>
        <w:t>experience</w:t>
      </w:r>
      <w:r w:rsidRPr="00A07389">
        <w:rPr>
          <w:sz w:val="28"/>
        </w:rPr>
        <w:t xml:space="preserve"> that </w:t>
      </w:r>
      <w:r w:rsidRPr="009F6024">
        <w:rPr>
          <w:b/>
          <w:color w:val="31849B" w:themeColor="accent5" w:themeShade="BF"/>
          <w:sz w:val="28"/>
        </w:rPr>
        <w:t>guides</w:t>
      </w:r>
      <w:r w:rsidRPr="00A07389">
        <w:rPr>
          <w:sz w:val="28"/>
        </w:rPr>
        <w:t xml:space="preserve"> the learner through a </w:t>
      </w:r>
      <w:r w:rsidRPr="009F6024">
        <w:rPr>
          <w:b/>
          <w:color w:val="31849B" w:themeColor="accent5" w:themeShade="BF"/>
          <w:sz w:val="28"/>
        </w:rPr>
        <w:t>relevant context</w:t>
      </w:r>
      <w:r w:rsidRPr="00A07389">
        <w:rPr>
          <w:sz w:val="28"/>
        </w:rPr>
        <w:t xml:space="preserve"> to make decisions </w:t>
      </w:r>
      <w:r w:rsidRPr="009F6024">
        <w:rPr>
          <w:b/>
          <w:color w:val="31849B" w:themeColor="accent5" w:themeShade="BF"/>
          <w:sz w:val="28"/>
        </w:rPr>
        <w:t>applicable</w:t>
      </w:r>
      <w:r w:rsidRPr="00A07389">
        <w:rPr>
          <w:sz w:val="28"/>
        </w:rPr>
        <w:t xml:space="preserve"> to their </w:t>
      </w:r>
      <w:r w:rsidRPr="009F6024">
        <w:rPr>
          <w:b/>
          <w:color w:val="31849B" w:themeColor="accent5" w:themeShade="BF"/>
          <w:sz w:val="28"/>
        </w:rPr>
        <w:t>real-world work</w:t>
      </w:r>
      <w:r w:rsidRPr="00A07389">
        <w:rPr>
          <w:sz w:val="28"/>
        </w:rPr>
        <w:t>.</w:t>
      </w:r>
    </w:p>
    <w:p w:rsidR="00B177F4" w:rsidRDefault="00A07389" w:rsidP="00A07389">
      <w:pPr>
        <w:jc w:val="right"/>
      </w:pPr>
      <w:r>
        <w:t>—paraphrased from Tom Kuhlman</w:t>
      </w:r>
    </w:p>
    <w:p w:rsidR="00005FC1" w:rsidRDefault="00005FC1" w:rsidP="00A07389">
      <w:r>
        <w:t xml:space="preserve">The instructional designer is also a project manager, a negotiator, and certainly a juggler. There are many elements to align, including people, in the process from course concept to </w:t>
      </w:r>
      <w:r w:rsidR="00886BE7">
        <w:t>completion</w:t>
      </w:r>
      <w:r>
        <w:t>. This workbook is intended to help you think through the integration of all those elements and be able to corral all the pieces into a successful whole.</w:t>
      </w:r>
      <w:r w:rsidR="00886BE7">
        <w:t xml:space="preserve"> The workbook is presented in three sections.</w:t>
      </w:r>
    </w:p>
    <w:p w:rsidR="00886BE7" w:rsidRPr="00674D01" w:rsidRDefault="00365A8B" w:rsidP="00A07389">
      <w:pPr>
        <w:rPr>
          <w:b/>
        </w:rPr>
      </w:pPr>
      <w:r>
        <w:rPr>
          <w:b/>
        </w:rPr>
        <w:t>Pre-storyboard</w:t>
      </w:r>
      <w:r w:rsidR="00886BE7" w:rsidRPr="00674D01">
        <w:rPr>
          <w:b/>
        </w:rPr>
        <w:t xml:space="preserve"> Phase 1</w:t>
      </w:r>
    </w:p>
    <w:p w:rsidR="00886BE7" w:rsidRDefault="00886BE7" w:rsidP="00886BE7">
      <w:pPr>
        <w:pStyle w:val="ListParagraph"/>
        <w:numPr>
          <w:ilvl w:val="0"/>
          <w:numId w:val="11"/>
        </w:numPr>
      </w:pPr>
      <w:r>
        <w:t>Topic focus</w:t>
      </w:r>
    </w:p>
    <w:p w:rsidR="00886BE7" w:rsidRDefault="00886BE7" w:rsidP="00886BE7">
      <w:pPr>
        <w:pStyle w:val="ListParagraph"/>
        <w:numPr>
          <w:ilvl w:val="0"/>
          <w:numId w:val="11"/>
        </w:numPr>
      </w:pPr>
      <w:r>
        <w:t>Target audience</w:t>
      </w:r>
    </w:p>
    <w:p w:rsidR="00886BE7" w:rsidRDefault="00886BE7" w:rsidP="00886BE7">
      <w:pPr>
        <w:pStyle w:val="ListParagraph"/>
        <w:numPr>
          <w:ilvl w:val="0"/>
          <w:numId w:val="11"/>
        </w:numPr>
      </w:pPr>
      <w:r>
        <w:t>Learning objectives</w:t>
      </w:r>
    </w:p>
    <w:p w:rsidR="00886BE7" w:rsidRPr="00674D01" w:rsidRDefault="00886BE7" w:rsidP="00886BE7">
      <w:pPr>
        <w:rPr>
          <w:b/>
        </w:rPr>
      </w:pPr>
      <w:r w:rsidRPr="00674D01">
        <w:rPr>
          <w:b/>
        </w:rPr>
        <w:t>Pre-storyboard Phase 2</w:t>
      </w:r>
    </w:p>
    <w:p w:rsidR="00886BE7" w:rsidRDefault="00886BE7" w:rsidP="00886BE7">
      <w:pPr>
        <w:pStyle w:val="ListParagraph"/>
        <w:numPr>
          <w:ilvl w:val="0"/>
          <w:numId w:val="12"/>
        </w:numPr>
      </w:pPr>
      <w:r>
        <w:t>Learning assets</w:t>
      </w:r>
    </w:p>
    <w:p w:rsidR="00886BE7" w:rsidRDefault="00886BE7" w:rsidP="00886BE7">
      <w:pPr>
        <w:pStyle w:val="ListParagraph"/>
        <w:numPr>
          <w:ilvl w:val="0"/>
          <w:numId w:val="12"/>
        </w:numPr>
      </w:pPr>
      <w:r>
        <w:t>SMEs (Subject Matter Experts)</w:t>
      </w:r>
    </w:p>
    <w:p w:rsidR="00886BE7" w:rsidRDefault="00886BE7" w:rsidP="00886BE7">
      <w:pPr>
        <w:pStyle w:val="ListParagraph"/>
        <w:numPr>
          <w:ilvl w:val="0"/>
          <w:numId w:val="12"/>
        </w:numPr>
      </w:pPr>
      <w:r>
        <w:t>Strategies and engagement techniques</w:t>
      </w:r>
    </w:p>
    <w:p w:rsidR="00886BE7" w:rsidRPr="00674D01" w:rsidRDefault="00886BE7" w:rsidP="00886BE7">
      <w:pPr>
        <w:rPr>
          <w:b/>
        </w:rPr>
      </w:pPr>
      <w:r w:rsidRPr="00674D01">
        <w:rPr>
          <w:b/>
        </w:rPr>
        <w:t>Storyboarding for Real</w:t>
      </w:r>
    </w:p>
    <w:p w:rsidR="00B05617" w:rsidRDefault="00B05617" w:rsidP="00B05617">
      <w:pPr>
        <w:pStyle w:val="ListParagraph"/>
        <w:numPr>
          <w:ilvl w:val="0"/>
          <w:numId w:val="13"/>
        </w:numPr>
      </w:pPr>
      <w:r>
        <w:t>Putting all the pieces together into a coherent outline</w:t>
      </w:r>
    </w:p>
    <w:p w:rsidR="00B177F4" w:rsidRDefault="00B05617" w:rsidP="00A07389">
      <w:r>
        <w:t xml:space="preserve">Keep in mind that </w:t>
      </w:r>
      <w:r w:rsidR="002167FF">
        <w:t xml:space="preserve">the </w:t>
      </w:r>
      <w:r w:rsidR="00B177F4">
        <w:t xml:space="preserve">process is iterative; you can go back and tweak or adjust </w:t>
      </w:r>
      <w:r w:rsidR="007710EC">
        <w:t xml:space="preserve">prior decisions at any time </w:t>
      </w:r>
      <w:r w:rsidR="00B177F4">
        <w:t>as you add elements and think through the cou</w:t>
      </w:r>
      <w:r w:rsidR="00176FBA">
        <w:t>rse outline more thoroughly. The</w:t>
      </w:r>
      <w:r w:rsidR="00B177F4">
        <w:t>s</w:t>
      </w:r>
      <w:r w:rsidR="00176FBA">
        <w:t>e workbook activities are</w:t>
      </w:r>
      <w:r w:rsidR="00B177F4">
        <w:t xml:space="preserve"> designed to help you get the process rolling.</w:t>
      </w:r>
    </w:p>
    <w:p w:rsidR="00456F2A" w:rsidRDefault="00486B12" w:rsidP="00A07389">
      <w:r>
        <w:br/>
      </w:r>
      <w:r>
        <w:br/>
      </w:r>
      <w:r w:rsidR="00363A93" w:rsidRPr="00363A93">
        <w:rPr>
          <w:noProof/>
        </w:rPr>
        <w:drawing>
          <wp:inline distT="0" distB="0" distL="0" distR="0">
            <wp:extent cx="5449374" cy="737555"/>
            <wp:effectExtent l="19050" t="0" r="0" b="0"/>
            <wp:docPr id="3" name="Picture 1" descr="SCEC-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C-logos.png"/>
                    <pic:cNvPicPr/>
                  </pic:nvPicPr>
                  <pic:blipFill>
                    <a:blip r:embed="rId8" cstate="print"/>
                    <a:stretch>
                      <a:fillRect/>
                    </a:stretch>
                  </pic:blipFill>
                  <pic:spPr>
                    <a:xfrm>
                      <a:off x="0" y="0"/>
                      <a:ext cx="5449374" cy="737555"/>
                    </a:xfrm>
                    <a:prstGeom prst="rect">
                      <a:avLst/>
                    </a:prstGeom>
                  </pic:spPr>
                </pic:pic>
              </a:graphicData>
            </a:graphic>
          </wp:inline>
        </w:drawing>
      </w:r>
    </w:p>
    <w:p w:rsidR="00456F2A" w:rsidRPr="0082113F" w:rsidRDefault="00456F2A" w:rsidP="00456F2A">
      <w:pPr>
        <w:spacing w:line="240" w:lineRule="auto"/>
        <w:jc w:val="center"/>
        <w:rPr>
          <w:color w:val="7F7F7F" w:themeColor="text1" w:themeTint="80"/>
          <w:sz w:val="20"/>
        </w:rPr>
      </w:pPr>
      <w:r w:rsidRPr="0082113F">
        <w:rPr>
          <w:i/>
          <w:iCs/>
          <w:color w:val="7F7F7F" w:themeColor="text1" w:themeTint="80"/>
          <w:sz w:val="20"/>
        </w:rPr>
        <w:t xml:space="preserve">The Library CE Institute is a partnership of WebJunction and Infopeople, generously supported </w:t>
      </w:r>
      <w:r w:rsidR="00B0500E">
        <w:rPr>
          <w:i/>
          <w:iCs/>
          <w:color w:val="7F7F7F" w:themeColor="text1" w:themeTint="80"/>
          <w:sz w:val="20"/>
        </w:rPr>
        <w:br/>
      </w:r>
      <w:r w:rsidRPr="0082113F">
        <w:rPr>
          <w:i/>
          <w:iCs/>
          <w:color w:val="7F7F7F" w:themeColor="text1" w:themeTint="80"/>
          <w:sz w:val="20"/>
        </w:rPr>
        <w:t>by a grant from the Institute of Museum &amp; Library Services (IMLS).</w:t>
      </w:r>
    </w:p>
    <w:p w:rsidR="00297DC4" w:rsidRDefault="00297DC4" w:rsidP="00A07389">
      <w:pPr>
        <w:rPr>
          <w:rFonts w:eastAsiaTheme="majorEastAsia" w:cstheme="majorBidi"/>
          <w:b/>
          <w:bCs/>
          <w:color w:val="365F91" w:themeColor="accent1" w:themeShade="BF"/>
          <w:sz w:val="28"/>
          <w:szCs w:val="28"/>
        </w:rPr>
      </w:pPr>
      <w:r>
        <w:br w:type="page"/>
      </w:r>
    </w:p>
    <w:p w:rsidR="005D360D" w:rsidRPr="00363A93" w:rsidRDefault="008F5C91" w:rsidP="00111A8D">
      <w:pPr>
        <w:pStyle w:val="Heading1"/>
        <w:spacing w:before="0"/>
        <w:rPr>
          <w:rFonts w:asciiTheme="minorHAnsi" w:hAnsiTheme="minorHAnsi"/>
          <w:color w:val="31849B" w:themeColor="accent5" w:themeShade="BF"/>
        </w:rPr>
      </w:pPr>
      <w:r w:rsidRPr="00363A93">
        <w:rPr>
          <w:rFonts w:asciiTheme="minorHAnsi" w:hAnsiTheme="minorHAnsi"/>
          <w:color w:val="31849B" w:themeColor="accent5" w:themeShade="BF"/>
        </w:rPr>
        <w:lastRenderedPageBreak/>
        <w:t xml:space="preserve">Activity: </w:t>
      </w:r>
      <w:r w:rsidR="005D360D" w:rsidRPr="00363A93">
        <w:rPr>
          <w:rFonts w:asciiTheme="minorHAnsi" w:hAnsiTheme="minorHAnsi"/>
          <w:color w:val="31849B" w:themeColor="accent5" w:themeShade="BF"/>
        </w:rPr>
        <w:t xml:space="preserve">Pre-storyboard </w:t>
      </w:r>
      <w:r w:rsidR="00365A8B" w:rsidRPr="00363A93">
        <w:rPr>
          <w:rFonts w:asciiTheme="minorHAnsi" w:hAnsiTheme="minorHAnsi"/>
          <w:color w:val="31849B" w:themeColor="accent5" w:themeShade="BF"/>
        </w:rPr>
        <w:t xml:space="preserve">Phase </w:t>
      </w:r>
      <w:r w:rsidR="005D360D" w:rsidRPr="00363A93">
        <w:rPr>
          <w:rFonts w:asciiTheme="minorHAnsi" w:hAnsiTheme="minorHAnsi"/>
          <w:color w:val="31849B" w:themeColor="accent5" w:themeShade="BF"/>
        </w:rPr>
        <w:t>1</w:t>
      </w:r>
    </w:p>
    <w:p w:rsidR="008F5C91" w:rsidRDefault="008F5C91" w:rsidP="000157DB">
      <w:pPr>
        <w:pStyle w:val="NoSpacing"/>
      </w:pPr>
    </w:p>
    <w:p w:rsidR="00B177F4" w:rsidRDefault="00981AFF" w:rsidP="000157DB">
      <w:pPr>
        <w:pStyle w:val="NoSpacing"/>
      </w:pPr>
      <w:r>
        <w:t>In this first phase, you will begin to define three elements—</w:t>
      </w:r>
      <w:r w:rsidRPr="00B177F4">
        <w:rPr>
          <w:b/>
        </w:rPr>
        <w:t>topic focus</w:t>
      </w:r>
      <w:r>
        <w:t xml:space="preserve">, </w:t>
      </w:r>
      <w:r w:rsidRPr="00B177F4">
        <w:rPr>
          <w:b/>
        </w:rPr>
        <w:t>audience</w:t>
      </w:r>
      <w:r>
        <w:t xml:space="preserve"> and </w:t>
      </w:r>
      <w:r w:rsidRPr="00B177F4">
        <w:rPr>
          <w:b/>
        </w:rPr>
        <w:t>learning objectives</w:t>
      </w:r>
      <w:r>
        <w:t xml:space="preserve">. </w:t>
      </w:r>
    </w:p>
    <w:p w:rsidR="003B3AEE" w:rsidRDefault="003B3AEE" w:rsidP="000157DB">
      <w:pPr>
        <w:pStyle w:val="NoSpacing"/>
      </w:pPr>
    </w:p>
    <w:p w:rsidR="003B3AEE" w:rsidRDefault="003B3AEE" w:rsidP="000157DB">
      <w:pPr>
        <w:pStyle w:val="NoSpacing"/>
      </w:pPr>
      <w:r>
        <w:t xml:space="preserve">All three elements are entwined and need to </w:t>
      </w:r>
      <w:r w:rsidR="00721A53">
        <w:t xml:space="preserve">be </w:t>
      </w:r>
      <w:r>
        <w:t>considered in relation to each of the other two. This is not a linear step-by-step process. Think of it as more of a triangle of elements that you need to connect and balance.</w:t>
      </w:r>
    </w:p>
    <w:p w:rsidR="00981AFF" w:rsidRDefault="00981AFF" w:rsidP="000157DB">
      <w:pPr>
        <w:pStyle w:val="NoSpacing"/>
      </w:pPr>
    </w:p>
    <w:p w:rsidR="00981AFF" w:rsidRPr="003B3AEE" w:rsidRDefault="00981AFF" w:rsidP="003B3AEE">
      <w:pPr>
        <w:pStyle w:val="NoSpacing"/>
        <w:tabs>
          <w:tab w:val="left" w:pos="270"/>
        </w:tabs>
        <w:rPr>
          <w:b/>
          <w:sz w:val="24"/>
        </w:rPr>
      </w:pPr>
      <w:r w:rsidRPr="003B3AEE">
        <w:rPr>
          <w:b/>
          <w:sz w:val="24"/>
        </w:rPr>
        <w:t>Topic Focus</w:t>
      </w:r>
    </w:p>
    <w:p w:rsidR="00DC190E" w:rsidRDefault="00981AFF" w:rsidP="000157DB">
      <w:pPr>
        <w:pStyle w:val="NoSpacing"/>
      </w:pPr>
      <w:r>
        <w:t>It is critically important to narrow your topic focus to something that is achievable within the timeframe of this program.</w:t>
      </w:r>
      <w:r w:rsidR="003B3AEE">
        <w:t xml:space="preserve"> </w:t>
      </w:r>
      <w:r w:rsidR="00721A53">
        <w:t>The temptation to cover a broad swath of information is great. Remember the concept of “</w:t>
      </w:r>
      <w:proofErr w:type="spellStart"/>
      <w:r w:rsidR="00721A53">
        <w:t>coursels</w:t>
      </w:r>
      <w:proofErr w:type="spellEnd"/>
      <w:r w:rsidR="00721A53">
        <w:t xml:space="preserve">,” or course morsels, which can stand alone as learning opportunities and be strung together for a more comprehensive curriculum. Create a strong first </w:t>
      </w:r>
      <w:proofErr w:type="spellStart"/>
      <w:r w:rsidR="00721A53">
        <w:t>coursel</w:t>
      </w:r>
      <w:proofErr w:type="spellEnd"/>
      <w:r w:rsidR="00721A53">
        <w:t xml:space="preserve"> and you may have the start of a potential course series.</w:t>
      </w:r>
    </w:p>
    <w:p w:rsidR="00DC190E" w:rsidRDefault="00DC190E" w:rsidP="000157DB">
      <w:pPr>
        <w:pStyle w:val="NoSpacing"/>
      </w:pPr>
    </w:p>
    <w:p w:rsidR="006C5F16" w:rsidRDefault="006C5F16" w:rsidP="000157DB">
      <w:pPr>
        <w:pStyle w:val="NoSpacing"/>
      </w:pPr>
      <w:r>
        <w:t>Consider:</w:t>
      </w:r>
    </w:p>
    <w:p w:rsidR="00297DC4" w:rsidRDefault="00DC190E" w:rsidP="00297DC4">
      <w:pPr>
        <w:pStyle w:val="NoSpacing"/>
        <w:numPr>
          <w:ilvl w:val="0"/>
          <w:numId w:val="4"/>
        </w:numPr>
      </w:pPr>
      <w:r>
        <w:t>What aspect of the topic will be addressed by training?</w:t>
      </w:r>
      <w:r>
        <w:br/>
        <w:t xml:space="preserve">See Cathy Moore’s </w:t>
      </w:r>
      <w:hyperlink r:id="rId9" w:history="1">
        <w:r w:rsidRPr="00DC190E">
          <w:rPr>
            <w:rStyle w:val="Hyperlink"/>
          </w:rPr>
          <w:t>Action Mapping Flowchart</w:t>
        </w:r>
      </w:hyperlink>
      <w:r>
        <w:t xml:space="preserve"> to help determine if training is the answer for a particular training goal: </w:t>
      </w:r>
      <w:hyperlink r:id="rId10" w:history="1">
        <w:r w:rsidRPr="00B10815">
          <w:rPr>
            <w:rStyle w:val="Hyperlink"/>
          </w:rPr>
          <w:t>http://blog.cathy-moore.com/wp-content/action-mapping-flowchart-v2.pdf</w:t>
        </w:r>
      </w:hyperlink>
      <w:r w:rsidR="00EB64DE">
        <w:br/>
      </w:r>
      <w:r w:rsidR="00EB64DE">
        <w:br/>
      </w:r>
      <w:r w:rsidR="00EB64DE">
        <w:br/>
      </w:r>
      <w:r>
        <w:t xml:space="preserve"> </w:t>
      </w:r>
    </w:p>
    <w:p w:rsidR="006C5F16" w:rsidRDefault="006C5F16" w:rsidP="006C5F16">
      <w:pPr>
        <w:pStyle w:val="NoSpacing"/>
        <w:numPr>
          <w:ilvl w:val="0"/>
          <w:numId w:val="4"/>
        </w:numPr>
      </w:pPr>
      <w:r>
        <w:t>What aspect of the topic is most suitable to self-paced e-learning?</w:t>
      </w:r>
      <w:r w:rsidR="00EB64DE">
        <w:br/>
      </w:r>
      <w:r w:rsidR="00EB64DE">
        <w:br/>
      </w:r>
      <w:r w:rsidR="00EB64DE">
        <w:br/>
      </w:r>
      <w:r w:rsidR="00EB64DE">
        <w:br/>
      </w:r>
    </w:p>
    <w:p w:rsidR="007628E8" w:rsidRDefault="00297DC4" w:rsidP="007628E8">
      <w:pPr>
        <w:pStyle w:val="NoSpacing"/>
        <w:numPr>
          <w:ilvl w:val="0"/>
          <w:numId w:val="4"/>
        </w:numPr>
      </w:pPr>
      <w:r>
        <w:t>What is the vital need to know information or skill set?</w:t>
      </w:r>
      <w:r>
        <w:br/>
      </w:r>
      <w:r w:rsidR="003B3AEE">
        <w:t xml:space="preserve">Use the “Find your 20%” </w:t>
      </w:r>
      <w:r w:rsidR="006C5F16">
        <w:t>chart</w:t>
      </w:r>
      <w:r w:rsidR="003B3AEE">
        <w:t xml:space="preserve"> to begin to get to the essence of the topic.</w:t>
      </w:r>
    </w:p>
    <w:p w:rsidR="003B3AEE" w:rsidRDefault="00EB64DE" w:rsidP="007628E8">
      <w:pPr>
        <w:pStyle w:val="NoSpacing"/>
      </w:pPr>
      <w:r>
        <w:rPr>
          <w:noProof/>
        </w:rPr>
        <w:drawing>
          <wp:inline distT="0" distB="0" distL="0" distR="0">
            <wp:extent cx="3497580" cy="2811780"/>
            <wp:effectExtent l="19050" t="0" r="7620" b="0"/>
            <wp:docPr id="1" name="Picture 0" descr="20-percent-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percent-chart.jpg"/>
                    <pic:cNvPicPr/>
                  </pic:nvPicPr>
                  <pic:blipFill>
                    <a:blip r:embed="rId11" cstate="print"/>
                    <a:srcRect l="6802"/>
                    <a:stretch>
                      <a:fillRect/>
                    </a:stretch>
                  </pic:blipFill>
                  <pic:spPr>
                    <a:xfrm>
                      <a:off x="0" y="0"/>
                      <a:ext cx="3497580" cy="2811780"/>
                    </a:xfrm>
                    <a:prstGeom prst="rect">
                      <a:avLst/>
                    </a:prstGeom>
                  </pic:spPr>
                </pic:pic>
              </a:graphicData>
            </a:graphic>
          </wp:inline>
        </w:drawing>
      </w:r>
    </w:p>
    <w:p w:rsidR="003B3AEE" w:rsidRDefault="003B3AEE" w:rsidP="000157DB">
      <w:pPr>
        <w:pStyle w:val="NoSpacing"/>
      </w:pPr>
      <w:r>
        <w:t xml:space="preserve"> </w:t>
      </w:r>
    </w:p>
    <w:p w:rsidR="00297DC4" w:rsidRDefault="00297DC4" w:rsidP="000157DB">
      <w:pPr>
        <w:pStyle w:val="NoSpacing"/>
      </w:pPr>
    </w:p>
    <w:p w:rsidR="005D360D" w:rsidRPr="003B3AEE" w:rsidRDefault="005D360D" w:rsidP="003B3AEE">
      <w:pPr>
        <w:pStyle w:val="NoSpacing"/>
        <w:tabs>
          <w:tab w:val="left" w:pos="270"/>
        </w:tabs>
        <w:rPr>
          <w:b/>
          <w:sz w:val="24"/>
        </w:rPr>
      </w:pPr>
      <w:r w:rsidRPr="003B3AEE">
        <w:rPr>
          <w:b/>
          <w:sz w:val="24"/>
        </w:rPr>
        <w:t>Audience</w:t>
      </w:r>
    </w:p>
    <w:p w:rsidR="00DC190E" w:rsidRDefault="00FA6F3F" w:rsidP="00FB739A">
      <w:pPr>
        <w:pStyle w:val="NoSpacing"/>
      </w:pPr>
      <w:r>
        <w:t>For the purposes of this program, it is necessary to think of your library staff audience on a national audience scale. However, it can be productive to think more particularly and locally, to describe personas of your prospective learners, and then to align these across your team.</w:t>
      </w:r>
    </w:p>
    <w:p w:rsidR="00FA6F3F" w:rsidRDefault="00FA6F3F" w:rsidP="00FB739A">
      <w:pPr>
        <w:pStyle w:val="NoSpacing"/>
      </w:pPr>
    </w:p>
    <w:p w:rsidR="00FA6F3F" w:rsidRDefault="00FA6F3F" w:rsidP="00FB739A">
      <w:pPr>
        <w:pStyle w:val="NoSpacing"/>
      </w:pPr>
      <w:r>
        <w:t>Consider:</w:t>
      </w:r>
    </w:p>
    <w:p w:rsidR="005D360D" w:rsidRDefault="006B7620" w:rsidP="005D360D">
      <w:pPr>
        <w:pStyle w:val="NoSpacing"/>
        <w:numPr>
          <w:ilvl w:val="0"/>
          <w:numId w:val="3"/>
        </w:numPr>
      </w:pPr>
      <w:r>
        <w:t>D</w:t>
      </w:r>
      <w:r w:rsidR="00D80D48">
        <w:t>escribe your learners in terms of their learning needs</w:t>
      </w:r>
      <w:r>
        <w:t xml:space="preserve"> on this topic.</w:t>
      </w:r>
      <w:r w:rsidR="0004580A">
        <w:br/>
      </w:r>
      <w:r w:rsidR="0004580A">
        <w:br/>
      </w:r>
    </w:p>
    <w:p w:rsidR="005D360D" w:rsidRPr="009D5B4D" w:rsidRDefault="005D360D" w:rsidP="007575D8">
      <w:pPr>
        <w:pStyle w:val="NoSpacing"/>
        <w:numPr>
          <w:ilvl w:val="0"/>
          <w:numId w:val="3"/>
        </w:numPr>
      </w:pPr>
      <w:r>
        <w:t>What is their level of skill</w:t>
      </w:r>
      <w:r w:rsidR="006B7620">
        <w:t>? D</w:t>
      </w:r>
      <w:r w:rsidR="007575D8">
        <w:t>o you need to try to</w:t>
      </w:r>
      <w:r w:rsidR="00D80D48">
        <w:t xml:space="preserve"> balance </w:t>
      </w:r>
      <w:r w:rsidR="007575D8">
        <w:t xml:space="preserve">the instruction/information for </w:t>
      </w:r>
      <w:r w:rsidR="007575D8" w:rsidRPr="009D5B4D">
        <w:t>multiple levels of skill</w:t>
      </w:r>
      <w:r w:rsidR="007575D8">
        <w:t>?</w:t>
      </w:r>
      <w:r w:rsidR="0004580A">
        <w:br/>
      </w:r>
      <w:r w:rsidR="0004580A">
        <w:br/>
      </w:r>
    </w:p>
    <w:p w:rsidR="00FA6F3F" w:rsidRDefault="005D360D" w:rsidP="00783334">
      <w:pPr>
        <w:pStyle w:val="NoSpacing"/>
        <w:numPr>
          <w:ilvl w:val="0"/>
          <w:numId w:val="3"/>
        </w:numPr>
      </w:pPr>
      <w:r w:rsidRPr="009D5B4D">
        <w:t xml:space="preserve">Anticipate </w:t>
      </w:r>
      <w:r w:rsidR="007575D8">
        <w:t>questions your learners might have about the topic</w:t>
      </w:r>
      <w:r w:rsidRPr="009D5B4D">
        <w:t>.</w:t>
      </w:r>
      <w:r w:rsidR="0004580A">
        <w:br/>
      </w:r>
      <w:r w:rsidR="0004580A">
        <w:br/>
      </w:r>
    </w:p>
    <w:p w:rsidR="0004580A" w:rsidRDefault="0004580A" w:rsidP="0004580A">
      <w:pPr>
        <w:pStyle w:val="NoSpacing"/>
      </w:pPr>
    </w:p>
    <w:p w:rsidR="0004580A" w:rsidRDefault="0004580A" w:rsidP="0004580A">
      <w:pPr>
        <w:pStyle w:val="NoSpacing"/>
      </w:pPr>
    </w:p>
    <w:p w:rsidR="007575D8" w:rsidRPr="007575D8" w:rsidRDefault="007575D8" w:rsidP="007575D8">
      <w:pPr>
        <w:pStyle w:val="NoSpacing"/>
      </w:pPr>
    </w:p>
    <w:p w:rsidR="00FA6F3F" w:rsidRDefault="007575D8" w:rsidP="00FA6F3F">
      <w:pPr>
        <w:pStyle w:val="NoSpacing"/>
      </w:pPr>
      <w:r>
        <w:t xml:space="preserve">Keep in mind the </w:t>
      </w:r>
      <w:r w:rsidR="00FA6F3F">
        <w:t>characteristics</w:t>
      </w:r>
      <w:r w:rsidR="001364CE">
        <w:t xml:space="preserve"> of adult learning</w:t>
      </w:r>
      <w:r w:rsidR="000A5CC4">
        <w:t>.</w:t>
      </w:r>
    </w:p>
    <w:p w:rsidR="00EA1AE4" w:rsidRDefault="00EA1AE4" w:rsidP="00FA6F3F">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tblPr>
      <w:tblGrid>
        <w:gridCol w:w="1818"/>
        <w:gridCol w:w="7758"/>
      </w:tblGrid>
      <w:tr w:rsidR="000A5CC4" w:rsidTr="0004580A">
        <w:tc>
          <w:tcPr>
            <w:tcW w:w="1818" w:type="dxa"/>
            <w:vAlign w:val="center"/>
          </w:tcPr>
          <w:p w:rsidR="000A5CC4" w:rsidRDefault="00832800" w:rsidP="000821EB">
            <w:pPr>
              <w:pStyle w:val="NoSpacing"/>
              <w:jc w:val="center"/>
            </w:pPr>
            <w:r w:rsidRPr="00832800">
              <w:rPr>
                <w:noProof/>
              </w:rPr>
              <w:drawing>
                <wp:inline distT="0" distB="0" distL="0" distR="0">
                  <wp:extent cx="842010" cy="839951"/>
                  <wp:effectExtent l="19050" t="0" r="0" b="0"/>
                  <wp:docPr id="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54480" cy="1554480"/>
                            <a:chOff x="1051560" y="1680419"/>
                            <a:chExt cx="1554480" cy="1554480"/>
                          </a:xfrm>
                        </a:grpSpPr>
                        <a:grpSp>
                          <a:nvGrpSpPr>
                            <a:cNvPr id="16" name="Group 15"/>
                            <a:cNvGrpSpPr/>
                          </a:nvGrpSpPr>
                          <a:grpSpPr>
                            <a:xfrm>
                              <a:off x="1051560" y="1680419"/>
                              <a:ext cx="1554480" cy="1554480"/>
                              <a:chOff x="838200" y="1981200"/>
                              <a:chExt cx="1554480" cy="1554480"/>
                            </a:xfrm>
                          </a:grpSpPr>
                          <a:sp>
                            <a:nvSpPr>
                              <a:cNvPr id="5" name="Oval 4"/>
                              <a:cNvSpPr>
                                <a:spLocks noChangeAspect="1"/>
                              </a:cNvSpPr>
                            </a:nvSpPr>
                            <a:spPr>
                              <a:xfrm>
                                <a:off x="838200" y="1981200"/>
                                <a:ext cx="1554480" cy="1554480"/>
                              </a:xfrm>
                              <a:prstGeom prst="ellipse">
                                <a:avLst/>
                              </a:prstGeom>
                              <a:solidFill>
                                <a:srgbClr val="002060"/>
                              </a:solidFill>
                              <a:ln w="38100">
                                <a:solidFill>
                                  <a:srgbClr val="FF3615"/>
                                </a:solidFill>
                              </a:ln>
                            </a:spPr>
                            <a:txSp>
                              <a:txBody>
                                <a:bodyPr lIns="0" tIns="0" rIns="0" bIns="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400" dirty="0"/>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6" name="Picture 2" descr="C:\Users\gutscheb\AppData\Local\Microsoft\Windows\Temporary Internet Files\Content.IE5\IDI29PQL\MC900078751[1].wmf"/>
                              <a:cNvPicPr>
                                <a:picLocks noChangeAspect="1" noChangeArrowheads="1"/>
                              </a:cNvPicPr>
                            </a:nvPicPr>
                            <a:blipFill>
                              <a:blip r:embed="rId12" cstate="print">
                                <a:lum bright="70000" contrast="-70000"/>
                              </a:blip>
                              <a:srcRect/>
                              <a:stretch>
                                <a:fillRect/>
                              </a:stretch>
                            </a:blipFill>
                            <a:spPr bwMode="auto">
                              <a:xfrm>
                                <a:off x="1063021" y="2270164"/>
                                <a:ext cx="1104838" cy="976552"/>
                              </a:xfrm>
                              <a:prstGeom prst="rect">
                                <a:avLst/>
                              </a:prstGeom>
                              <a:noFill/>
                            </a:spPr>
                          </a:pic>
                        </a:grpSp>
                      </lc:lockedCanvas>
                    </a:graphicData>
                  </a:graphic>
                </wp:inline>
              </w:drawing>
            </w:r>
          </w:p>
        </w:tc>
        <w:tc>
          <w:tcPr>
            <w:tcW w:w="7758" w:type="dxa"/>
            <w:vAlign w:val="center"/>
          </w:tcPr>
          <w:p w:rsidR="000A5CC4" w:rsidRDefault="00DA4B93" w:rsidP="00EA1AE4">
            <w:pPr>
              <w:pStyle w:val="NoSpacing"/>
            </w:pPr>
            <w:r>
              <w:t>1. Self-directed: A</w:t>
            </w:r>
            <w:r w:rsidR="00984B4C">
              <w:t>dults are accustomed to moving through the world with some level of autonomy; they appreciate opportunities to explore.</w:t>
            </w:r>
          </w:p>
        </w:tc>
      </w:tr>
      <w:tr w:rsidR="000A5CC4" w:rsidTr="0004580A">
        <w:tc>
          <w:tcPr>
            <w:tcW w:w="1818" w:type="dxa"/>
            <w:vAlign w:val="center"/>
          </w:tcPr>
          <w:p w:rsidR="000A5CC4" w:rsidRDefault="00832800" w:rsidP="000821EB">
            <w:pPr>
              <w:pStyle w:val="NoSpacing"/>
              <w:jc w:val="center"/>
            </w:pPr>
            <w:r w:rsidRPr="00832800">
              <w:rPr>
                <w:noProof/>
              </w:rPr>
              <w:drawing>
                <wp:inline distT="0" distB="0" distL="0" distR="0">
                  <wp:extent cx="819150" cy="817147"/>
                  <wp:effectExtent l="19050" t="0" r="0" b="0"/>
                  <wp:docPr id="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54480" cy="1554480"/>
                            <a:chOff x="1051560" y="4343400"/>
                            <a:chExt cx="1554480" cy="1554480"/>
                          </a:xfrm>
                        </a:grpSpPr>
                        <a:grpSp>
                          <a:nvGrpSpPr>
                            <a:cNvPr id="17" name="Group 16"/>
                            <a:cNvGrpSpPr/>
                          </a:nvGrpSpPr>
                          <a:grpSpPr>
                            <a:xfrm>
                              <a:off x="1051560" y="4343400"/>
                              <a:ext cx="1554480" cy="1554480"/>
                              <a:chOff x="1066800" y="3962400"/>
                              <a:chExt cx="1554480" cy="1554480"/>
                            </a:xfrm>
                          </a:grpSpPr>
                          <a:sp>
                            <a:nvSpPr>
                              <a:cNvPr id="9" name="Oval 8"/>
                              <a:cNvSpPr>
                                <a:spLocks noChangeAspect="1"/>
                              </a:cNvSpPr>
                            </a:nvSpPr>
                            <a:spPr>
                              <a:xfrm>
                                <a:off x="1066800" y="3962400"/>
                                <a:ext cx="1554480" cy="1554480"/>
                              </a:xfrm>
                              <a:prstGeom prst="ellipse">
                                <a:avLst/>
                              </a:prstGeom>
                              <a:solidFill>
                                <a:srgbClr val="002060"/>
                              </a:solidFill>
                              <a:ln w="38100">
                                <a:solidFill>
                                  <a:srgbClr val="FF3615"/>
                                </a:solidFill>
                              </a:ln>
                            </a:spPr>
                            <a:txSp>
                              <a:txBody>
                                <a:bodyPr lIns="0" tIns="0" rIns="0" bIns="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400" dirty="0"/>
                                </a:p>
                              </a:txBody>
                              <a:useSpRect/>
                            </a:txSp>
                            <a:style>
                              <a:lnRef idx="2">
                                <a:schemeClr val="accent1">
                                  <a:shade val="50000"/>
                                </a:schemeClr>
                              </a:lnRef>
                              <a:fillRef idx="1">
                                <a:schemeClr val="accent1"/>
                              </a:fillRef>
                              <a:effectRef idx="0">
                                <a:schemeClr val="accent1"/>
                              </a:effectRef>
                              <a:fontRef idx="minor">
                                <a:schemeClr val="lt1"/>
                              </a:fontRef>
                            </a:style>
                          </a:sp>
                          <a:pic>
                            <a:nvPicPr>
                              <a:cNvPr id="15" name="Picture 3" descr="C:\Users\gutscheb\AppData\Local\Microsoft\Windows\Temporary Internet Files\Content.IE5\IDI29PQL\MP900402848[1].jpg"/>
                              <a:cNvPicPr>
                                <a:picLocks noChangeAspect="1" noChangeArrowheads="1"/>
                              </a:cNvPicPr>
                            </a:nvPicPr>
                            <a:blipFill>
                              <a:blip r:embed="rId13" cstate="print">
                                <a:clrChange>
                                  <a:clrFrom>
                                    <a:srgbClr val="FFFFFF"/>
                                  </a:clrFrom>
                                  <a:clrTo>
                                    <a:srgbClr val="FFFFFF">
                                      <a:alpha val="0"/>
                                    </a:srgbClr>
                                  </a:clrTo>
                                </a:clrChange>
                                <a:duotone>
                                  <a:schemeClr val="bg2">
                                    <a:shade val="45000"/>
                                    <a:satMod val="135000"/>
                                  </a:schemeClr>
                                  <a:prstClr val="white"/>
                                </a:duotone>
                              </a:blip>
                              <a:srcRect l="9961" r="7031"/>
                              <a:stretch>
                                <a:fillRect/>
                              </a:stretch>
                            </a:blipFill>
                            <a:spPr bwMode="auto">
                              <a:xfrm>
                                <a:off x="1194654" y="4152900"/>
                                <a:ext cx="1298773" cy="1173480"/>
                              </a:xfrm>
                              <a:prstGeom prst="rect">
                                <a:avLst/>
                              </a:prstGeom>
                              <a:noFill/>
                            </a:spPr>
                          </a:pic>
                        </a:grpSp>
                      </lc:lockedCanvas>
                    </a:graphicData>
                  </a:graphic>
                </wp:inline>
              </w:drawing>
            </w:r>
          </w:p>
        </w:tc>
        <w:tc>
          <w:tcPr>
            <w:tcW w:w="7758" w:type="dxa"/>
            <w:vAlign w:val="center"/>
          </w:tcPr>
          <w:p w:rsidR="000A5CC4" w:rsidRDefault="00DA4B93" w:rsidP="00EA1AE4">
            <w:pPr>
              <w:pStyle w:val="NoSpacing"/>
            </w:pPr>
            <w:r>
              <w:t>2. Past experience: A</w:t>
            </w:r>
            <w:r w:rsidR="00984B4C">
              <w:t>dults bring a rich array of past experiences to any new situation; the brain learns most powerfully when it can connect new information and concepts to that which is already known and understood.</w:t>
            </w:r>
          </w:p>
        </w:tc>
      </w:tr>
      <w:tr w:rsidR="000A5CC4" w:rsidTr="0004580A">
        <w:tc>
          <w:tcPr>
            <w:tcW w:w="1818" w:type="dxa"/>
            <w:vAlign w:val="center"/>
          </w:tcPr>
          <w:p w:rsidR="000A5CC4" w:rsidRDefault="00832800" w:rsidP="000821EB">
            <w:pPr>
              <w:pStyle w:val="NoSpacing"/>
              <w:jc w:val="center"/>
            </w:pPr>
            <w:r w:rsidRPr="00832800">
              <w:rPr>
                <w:noProof/>
              </w:rPr>
              <w:drawing>
                <wp:inline distT="0" distB="0" distL="0" distR="0">
                  <wp:extent cx="857250" cy="844826"/>
                  <wp:effectExtent l="19050" t="0" r="0" b="0"/>
                  <wp:docPr id="5"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77340" cy="1554480"/>
                            <a:chOff x="3669030" y="2819400"/>
                            <a:chExt cx="1577340" cy="1554480"/>
                          </a:xfrm>
                        </a:grpSpPr>
                        <a:grpSp>
                          <a:nvGrpSpPr>
                            <a:cNvPr id="28" name="Group 27"/>
                            <a:cNvGrpSpPr/>
                          </a:nvGrpSpPr>
                          <a:grpSpPr>
                            <a:xfrm>
                              <a:off x="3669030" y="2819400"/>
                              <a:ext cx="1577340" cy="1554480"/>
                              <a:chOff x="3756660" y="3124200"/>
                              <a:chExt cx="1577340" cy="1554480"/>
                            </a:xfrm>
                          </a:grpSpPr>
                          <a:sp>
                            <a:nvSpPr>
                              <a:cNvPr id="10" name="Oval 9"/>
                              <a:cNvSpPr>
                                <a:spLocks noChangeAspect="1"/>
                              </a:cNvSpPr>
                            </a:nvSpPr>
                            <a:spPr>
                              <a:xfrm>
                                <a:off x="3756660" y="3124200"/>
                                <a:ext cx="1554480" cy="1554480"/>
                              </a:xfrm>
                              <a:prstGeom prst="ellipse">
                                <a:avLst/>
                              </a:prstGeom>
                              <a:solidFill>
                                <a:srgbClr val="002060"/>
                              </a:solidFill>
                              <a:ln w="38100">
                                <a:solidFill>
                                  <a:srgbClr val="FF3615"/>
                                </a:solidFill>
                              </a:ln>
                            </a:spPr>
                            <a:txSp>
                              <a:txBody>
                                <a:bodyPr lIns="0" tIns="0" rIns="0" bIns="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400" dirty="0"/>
                                </a:p>
                              </a:txBody>
                              <a:useSpRect/>
                            </a:txSp>
                            <a:style>
                              <a:lnRef idx="2">
                                <a:schemeClr val="accent1">
                                  <a:shade val="50000"/>
                                </a:schemeClr>
                              </a:lnRef>
                              <a:fillRef idx="1">
                                <a:schemeClr val="accent1"/>
                              </a:fillRef>
                              <a:effectRef idx="0">
                                <a:schemeClr val="accent1"/>
                              </a:effectRef>
                              <a:fontRef idx="minor">
                                <a:schemeClr val="lt1"/>
                              </a:fontRef>
                            </a:style>
                          </a:sp>
                          <a:pic>
                            <a:nvPicPr>
                              <a:cNvPr id="27" name="Picture 7" descr="C:\Users\gutscheb\AppData\Local\Microsoft\Windows\Temporary Internet Files\Content.IE5\6I4SV274\MC900056795[1].wmf"/>
                              <a:cNvPicPr>
                                <a:picLocks noChangeAspect="1" noChangeArrowheads="1"/>
                              </a:cNvPicPr>
                            </a:nvPicPr>
                            <a:blipFill>
                              <a:blip r:embed="rId14" cstate="print">
                                <a:clrChange>
                                  <a:clrFrom>
                                    <a:srgbClr val="000000"/>
                                  </a:clrFrom>
                                  <a:clrTo>
                                    <a:srgbClr val="000000">
                                      <a:alpha val="0"/>
                                    </a:srgbClr>
                                  </a:clrTo>
                                </a:clrChange>
                                <a:duotone>
                                  <a:schemeClr val="bg2">
                                    <a:shade val="45000"/>
                                    <a:satMod val="135000"/>
                                  </a:schemeClr>
                                  <a:prstClr val="white"/>
                                </a:duotone>
                              </a:blip>
                              <a:srcRect/>
                              <a:stretch>
                                <a:fillRect/>
                              </a:stretch>
                            </a:blipFill>
                            <a:spPr bwMode="auto">
                              <a:xfrm>
                                <a:off x="3865427" y="3337560"/>
                                <a:ext cx="1468573" cy="1005840"/>
                              </a:xfrm>
                              <a:prstGeom prst="rect">
                                <a:avLst/>
                              </a:prstGeom>
                              <a:noFill/>
                            </a:spPr>
                          </a:pic>
                        </a:grpSp>
                      </lc:lockedCanvas>
                    </a:graphicData>
                  </a:graphic>
                </wp:inline>
              </w:drawing>
            </w:r>
          </w:p>
        </w:tc>
        <w:tc>
          <w:tcPr>
            <w:tcW w:w="7758" w:type="dxa"/>
            <w:vAlign w:val="center"/>
          </w:tcPr>
          <w:p w:rsidR="000A5CC4" w:rsidRDefault="00DA4B93" w:rsidP="00EA1AE4">
            <w:pPr>
              <w:pStyle w:val="NoSpacing"/>
            </w:pPr>
            <w:r>
              <w:t>3. Relevance: A</w:t>
            </w:r>
            <w:r w:rsidR="00984B4C">
              <w:t>dults need to know why the new information is relevant; how it will make their lives and work better.</w:t>
            </w:r>
          </w:p>
        </w:tc>
      </w:tr>
      <w:tr w:rsidR="000A5CC4" w:rsidTr="0004580A">
        <w:tc>
          <w:tcPr>
            <w:tcW w:w="1818" w:type="dxa"/>
            <w:vAlign w:val="center"/>
          </w:tcPr>
          <w:p w:rsidR="000A5CC4" w:rsidRDefault="00930CA7" w:rsidP="000821EB">
            <w:pPr>
              <w:pStyle w:val="NoSpacing"/>
              <w:jc w:val="center"/>
            </w:pPr>
            <w:r w:rsidRPr="00930CA7">
              <w:rPr>
                <w:noProof/>
              </w:rPr>
              <w:drawing>
                <wp:inline distT="0" distB="0" distL="0" distR="0">
                  <wp:extent cx="918210" cy="914055"/>
                  <wp:effectExtent l="19050" t="0" r="0" b="0"/>
                  <wp:docPr id="8"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76400" cy="1672381"/>
                            <a:chOff x="6210300" y="1680419"/>
                            <a:chExt cx="1676400" cy="1672381"/>
                          </a:xfrm>
                        </a:grpSpPr>
                        <a:grpSp>
                          <a:nvGrpSpPr>
                            <a:cNvPr id="25" name="Group 24"/>
                            <a:cNvGrpSpPr/>
                          </a:nvGrpSpPr>
                          <a:grpSpPr>
                            <a:xfrm>
                              <a:off x="6210300" y="1680419"/>
                              <a:ext cx="1676400" cy="1672381"/>
                              <a:chOff x="6781800" y="1600200"/>
                              <a:chExt cx="1676400" cy="1672381"/>
                            </a:xfrm>
                          </a:grpSpPr>
                          <a:sp>
                            <a:nvSpPr>
                              <a:cNvPr id="12" name="Oval 11"/>
                              <a:cNvSpPr>
                                <a:spLocks noChangeAspect="1"/>
                              </a:cNvSpPr>
                            </a:nvSpPr>
                            <a:spPr>
                              <a:xfrm>
                                <a:off x="6781800" y="1600200"/>
                                <a:ext cx="1554480" cy="1554480"/>
                              </a:xfrm>
                              <a:prstGeom prst="ellipse">
                                <a:avLst/>
                              </a:prstGeom>
                              <a:solidFill>
                                <a:srgbClr val="002060"/>
                              </a:solidFill>
                              <a:ln w="38100">
                                <a:solidFill>
                                  <a:srgbClr val="FF3615"/>
                                </a:solidFill>
                              </a:ln>
                            </a:spPr>
                            <a:txSp>
                              <a:txBody>
                                <a:bodyPr lIns="0" tIns="0" rIns="0" bIns="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400" dirty="0"/>
                                </a:p>
                              </a:txBody>
                              <a:useSpRect/>
                            </a:txSp>
                            <a:style>
                              <a:lnRef idx="2">
                                <a:schemeClr val="accent1">
                                  <a:shade val="50000"/>
                                </a:schemeClr>
                              </a:lnRef>
                              <a:fillRef idx="1">
                                <a:schemeClr val="accent1"/>
                              </a:fillRef>
                              <a:effectRef idx="0">
                                <a:schemeClr val="accent1"/>
                              </a:effectRef>
                              <a:fontRef idx="minor">
                                <a:schemeClr val="lt1"/>
                              </a:fontRef>
                            </a:style>
                          </a:sp>
                          <a:pic>
                            <a:nvPicPr>
                              <a:cNvPr id="1028" name="Picture 4" descr="C:\Users\gutscheb\AppData\Local\Microsoft\Windows\Temporary Internet Files\Content.IE5\6I4SV274\MC900216942[1].wmf"/>
                              <a:cNvPicPr>
                                <a:picLocks noChangeAspect="1" noChangeArrowheads="1"/>
                              </a:cNvPicPr>
                            </a:nvPicPr>
                            <a:blipFill>
                              <a:blip r:embed="rId15" cstate="print">
                                <a:duotone>
                                  <a:schemeClr val="bg2">
                                    <a:shade val="45000"/>
                                    <a:satMod val="135000"/>
                                  </a:schemeClr>
                                  <a:prstClr val="white"/>
                                </a:duotone>
                              </a:blip>
                              <a:srcRect/>
                              <a:stretch>
                                <a:fillRect/>
                              </a:stretch>
                            </a:blipFill>
                            <a:spPr bwMode="auto">
                              <a:xfrm>
                                <a:off x="6858000" y="1676400"/>
                                <a:ext cx="1600200" cy="1596181"/>
                              </a:xfrm>
                              <a:prstGeom prst="rect">
                                <a:avLst/>
                              </a:prstGeom>
                              <a:noFill/>
                            </a:spPr>
                          </a:pic>
                        </a:grpSp>
                      </lc:lockedCanvas>
                    </a:graphicData>
                  </a:graphic>
                </wp:inline>
              </w:drawing>
            </w:r>
          </w:p>
        </w:tc>
        <w:tc>
          <w:tcPr>
            <w:tcW w:w="7758" w:type="dxa"/>
            <w:vAlign w:val="center"/>
          </w:tcPr>
          <w:p w:rsidR="000A5CC4" w:rsidRDefault="00984B4C" w:rsidP="00972CC6">
            <w:pPr>
              <w:pStyle w:val="NoSpacing"/>
            </w:pPr>
            <w:r>
              <w:t xml:space="preserve">4. </w:t>
            </w:r>
            <w:r w:rsidR="00972CC6">
              <w:t xml:space="preserve">Task-oriented: All ages—not just adults—learn by doing. Being able to practice or apply new information, including making mistakes, is the most effective way to solidify the learning. </w:t>
            </w:r>
          </w:p>
        </w:tc>
      </w:tr>
      <w:tr w:rsidR="000A5CC4" w:rsidTr="0004580A">
        <w:tc>
          <w:tcPr>
            <w:tcW w:w="1818" w:type="dxa"/>
            <w:vAlign w:val="center"/>
          </w:tcPr>
          <w:p w:rsidR="000A5CC4" w:rsidRDefault="002C7E13" w:rsidP="000821EB">
            <w:pPr>
              <w:pStyle w:val="NoSpacing"/>
              <w:jc w:val="center"/>
            </w:pPr>
            <w:r w:rsidRPr="002C7E13">
              <w:rPr>
                <w:noProof/>
              </w:rPr>
              <w:drawing>
                <wp:inline distT="0" distB="0" distL="0" distR="0">
                  <wp:extent cx="817338" cy="815340"/>
                  <wp:effectExtent l="19050" t="0" r="1812" b="0"/>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54480" cy="1554480"/>
                            <a:chOff x="6271260" y="4343400"/>
                            <a:chExt cx="1554480" cy="1554480"/>
                          </a:xfrm>
                        </a:grpSpPr>
                        <a:grpSp>
                          <a:nvGrpSpPr>
                            <a:cNvPr id="23" name="Group 22"/>
                            <a:cNvGrpSpPr/>
                          </a:nvGrpSpPr>
                          <a:grpSpPr>
                            <a:xfrm>
                              <a:off x="6271260" y="4343400"/>
                              <a:ext cx="1554480" cy="1554480"/>
                              <a:chOff x="6324600" y="4114800"/>
                              <a:chExt cx="1554480" cy="1554480"/>
                            </a:xfrm>
                          </a:grpSpPr>
                          <a:sp>
                            <a:nvSpPr>
                              <a:cNvPr id="11" name="Oval 10"/>
                              <a:cNvSpPr>
                                <a:spLocks noChangeAspect="1"/>
                              </a:cNvSpPr>
                            </a:nvSpPr>
                            <a:spPr>
                              <a:xfrm>
                                <a:off x="6324600" y="4114800"/>
                                <a:ext cx="1554480" cy="1554480"/>
                              </a:xfrm>
                              <a:prstGeom prst="ellipse">
                                <a:avLst/>
                              </a:prstGeom>
                              <a:solidFill>
                                <a:srgbClr val="002060"/>
                              </a:solidFill>
                              <a:ln w="38100">
                                <a:solidFill>
                                  <a:srgbClr val="FF3615"/>
                                </a:solidFill>
                              </a:ln>
                            </a:spPr>
                            <a:txSp>
                              <a:txBody>
                                <a:bodyPr lIns="0" tIns="0" rIns="0" bIns="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2400" dirty="0"/>
                                </a:p>
                              </a:txBody>
                              <a:useSpRect/>
                            </a:txSp>
                            <a:style>
                              <a:lnRef idx="2">
                                <a:schemeClr val="accent1">
                                  <a:shade val="50000"/>
                                </a:schemeClr>
                              </a:lnRef>
                              <a:fillRef idx="1">
                                <a:schemeClr val="accent1"/>
                              </a:fillRef>
                              <a:effectRef idx="0">
                                <a:schemeClr val="accent1"/>
                              </a:effectRef>
                              <a:fontRef idx="minor">
                                <a:schemeClr val="lt1"/>
                              </a:fontRef>
                            </a:style>
                          </a:sp>
                          <a:pic>
                            <a:nvPicPr>
                              <a:cNvPr id="22" name="Picture 2" descr="C:\Users\gutscheb\AppData\Local\Microsoft\Windows\Temporary Internet Files\Content.IE5\IDI29PQL\MP900442417[1].jpg"/>
                              <a:cNvPicPr>
                                <a:picLocks noChangeAspect="1" noChangeArrowheads="1"/>
                              </a:cNvPicPr>
                            </a:nvPicPr>
                            <a:blipFill>
                              <a:blip r:embed="rId16" cstate="print">
                                <a:clrChange>
                                  <a:clrFrom>
                                    <a:srgbClr val="FFFFFF"/>
                                  </a:clrFrom>
                                  <a:clrTo>
                                    <a:srgbClr val="FFFFFF">
                                      <a:alpha val="0"/>
                                    </a:srgbClr>
                                  </a:clrTo>
                                </a:clrChange>
                                <a:duotone>
                                  <a:schemeClr val="bg2">
                                    <a:shade val="45000"/>
                                    <a:satMod val="135000"/>
                                  </a:schemeClr>
                                  <a:prstClr val="white"/>
                                </a:duotone>
                              </a:blip>
                              <a:srcRect l="11316" t="12500" b="10000"/>
                              <a:stretch>
                                <a:fillRect/>
                              </a:stretch>
                            </a:blipFill>
                            <a:spPr bwMode="auto">
                              <a:xfrm>
                                <a:off x="6510450" y="4191000"/>
                                <a:ext cx="1109550" cy="1463040"/>
                              </a:xfrm>
                              <a:prstGeom prst="rect">
                                <a:avLst/>
                              </a:prstGeom>
                              <a:noFill/>
                            </a:spPr>
                          </a:pic>
                        </a:grpSp>
                      </lc:lockedCanvas>
                    </a:graphicData>
                  </a:graphic>
                </wp:inline>
              </w:drawing>
            </w:r>
          </w:p>
        </w:tc>
        <w:tc>
          <w:tcPr>
            <w:tcW w:w="7758" w:type="dxa"/>
            <w:vAlign w:val="center"/>
          </w:tcPr>
          <w:p w:rsidR="000A5CC4" w:rsidRDefault="00984B4C" w:rsidP="00972CC6">
            <w:pPr>
              <w:pStyle w:val="NoSpacing"/>
            </w:pPr>
            <w:r>
              <w:t xml:space="preserve">5. </w:t>
            </w:r>
            <w:r w:rsidR="00972CC6">
              <w:t xml:space="preserve">Immediate application: Especially in workplace learning, adult learners want to be able to </w:t>
            </w:r>
            <w:r w:rsidR="00972CC6" w:rsidRPr="003016FD">
              <w:t>apply new knowledge immediately for problem-solving</w:t>
            </w:r>
            <w:r w:rsidR="00972CC6">
              <w:t>.</w:t>
            </w:r>
          </w:p>
        </w:tc>
      </w:tr>
    </w:tbl>
    <w:p w:rsidR="00E22743" w:rsidRPr="00883A97" w:rsidRDefault="00E22743" w:rsidP="00783334">
      <w:pPr>
        <w:pStyle w:val="NoSpacing"/>
        <w:rPr>
          <w:b/>
          <w:sz w:val="24"/>
        </w:rPr>
      </w:pPr>
      <w:r w:rsidRPr="00883A97">
        <w:rPr>
          <w:b/>
          <w:sz w:val="24"/>
        </w:rPr>
        <w:lastRenderedPageBreak/>
        <w:t>L</w:t>
      </w:r>
      <w:r w:rsidR="00336529" w:rsidRPr="00883A97">
        <w:rPr>
          <w:b/>
          <w:sz w:val="24"/>
        </w:rPr>
        <w:t xml:space="preserve">earning </w:t>
      </w:r>
      <w:r w:rsidRPr="00883A97">
        <w:rPr>
          <w:b/>
          <w:sz w:val="24"/>
        </w:rPr>
        <w:t>O</w:t>
      </w:r>
      <w:r w:rsidR="00336529" w:rsidRPr="00883A97">
        <w:rPr>
          <w:b/>
          <w:sz w:val="24"/>
        </w:rPr>
        <w:t>bjective</w:t>
      </w:r>
      <w:r w:rsidRPr="00883A97">
        <w:rPr>
          <w:b/>
          <w:sz w:val="24"/>
        </w:rPr>
        <w:t>s</w:t>
      </w:r>
    </w:p>
    <w:p w:rsidR="00991314" w:rsidRDefault="00532E88" w:rsidP="00783334">
      <w:pPr>
        <w:pStyle w:val="NoSpacing"/>
      </w:pPr>
      <w:r>
        <w:t xml:space="preserve">With a topic focus in mind and some understanding of your target audience, </w:t>
      </w:r>
      <w:r w:rsidR="00991314">
        <w:t>you can begin to define the learning outcomes—what your learners will understand and be able to do as a result of taking this course.</w:t>
      </w:r>
      <w:r w:rsidR="00FA00CC">
        <w:t xml:space="preserve"> Setting clear goals helps you design the instruction so that your learners are focused on the essential things.</w:t>
      </w:r>
    </w:p>
    <w:p w:rsidR="00991314" w:rsidRDefault="00991314" w:rsidP="00783334">
      <w:pPr>
        <w:pStyle w:val="NoSpacing"/>
      </w:pPr>
    </w:p>
    <w:p w:rsidR="00991314" w:rsidRDefault="00991314" w:rsidP="00783334">
      <w:pPr>
        <w:pStyle w:val="NoSpacing"/>
      </w:pPr>
      <w:r>
        <w:t xml:space="preserve">Refer to: </w:t>
      </w:r>
    </w:p>
    <w:p w:rsidR="00991314" w:rsidRDefault="00991314" w:rsidP="00991314">
      <w:pPr>
        <w:pStyle w:val="NoSpacing"/>
        <w:numPr>
          <w:ilvl w:val="0"/>
          <w:numId w:val="6"/>
        </w:numPr>
      </w:pPr>
      <w:proofErr w:type="spellStart"/>
      <w:r>
        <w:t>Infopeople’s</w:t>
      </w:r>
      <w:proofErr w:type="spellEnd"/>
      <w:r>
        <w:t xml:space="preserve"> guide to Writing Learning Objectives (handout)</w:t>
      </w:r>
    </w:p>
    <w:p w:rsidR="00532E88" w:rsidRDefault="00991314" w:rsidP="00991314">
      <w:pPr>
        <w:pStyle w:val="NoSpacing"/>
        <w:numPr>
          <w:ilvl w:val="0"/>
          <w:numId w:val="6"/>
        </w:numPr>
      </w:pPr>
      <w:r>
        <w:t xml:space="preserve">What’s the Goal?, Dirksen Chapter 3 </w:t>
      </w:r>
    </w:p>
    <w:p w:rsidR="00991314" w:rsidRDefault="00991314" w:rsidP="00783334">
      <w:pPr>
        <w:pStyle w:val="NoSpacing"/>
      </w:pPr>
    </w:p>
    <w:p w:rsidR="00991314" w:rsidRDefault="00991314" w:rsidP="00783334">
      <w:pPr>
        <w:pStyle w:val="NoSpacing"/>
      </w:pPr>
      <w:r>
        <w:t>Consider:</w:t>
      </w:r>
    </w:p>
    <w:p w:rsidR="00CC670E" w:rsidRDefault="00CC670E" w:rsidP="00CC670E">
      <w:pPr>
        <w:pStyle w:val="NoSpacing"/>
        <w:numPr>
          <w:ilvl w:val="0"/>
          <w:numId w:val="5"/>
        </w:numPr>
      </w:pPr>
      <w:r>
        <w:t>What is the problem this course is intended to solve</w:t>
      </w:r>
      <w:r w:rsidR="00FC139C">
        <w:t>?</w:t>
      </w:r>
      <w:r>
        <w:t xml:space="preserve"> </w:t>
      </w:r>
      <w:r w:rsidR="00FC139C">
        <w:t>T</w:t>
      </w:r>
      <w:r>
        <w:t>arget the solution.</w:t>
      </w:r>
      <w:r>
        <w:br/>
      </w:r>
      <w:r w:rsidR="0097657A">
        <w:br/>
      </w:r>
    </w:p>
    <w:p w:rsidR="00E06198" w:rsidRDefault="00991314" w:rsidP="00E06198">
      <w:pPr>
        <w:pStyle w:val="NoSpacing"/>
        <w:numPr>
          <w:ilvl w:val="0"/>
          <w:numId w:val="5"/>
        </w:numPr>
      </w:pPr>
      <w:r>
        <w:t>What will learners be able to DO as a result of this learning</w:t>
      </w:r>
      <w:r w:rsidR="00E06198">
        <w:t>?</w:t>
      </w:r>
      <w:r w:rsidR="00E06198">
        <w:br/>
      </w:r>
      <w:r w:rsidR="0097657A">
        <w:br/>
      </w:r>
    </w:p>
    <w:p w:rsidR="00E06198" w:rsidRDefault="00E06198" w:rsidP="00E06198">
      <w:pPr>
        <w:pStyle w:val="NoSpacing"/>
        <w:numPr>
          <w:ilvl w:val="0"/>
          <w:numId w:val="5"/>
        </w:numPr>
      </w:pPr>
      <w:r>
        <w:t>What is the observable change in performance desired? Focus on performance change rather than information learned.</w:t>
      </w:r>
      <w:r>
        <w:br/>
      </w:r>
      <w:r w:rsidR="0097657A">
        <w:br/>
      </w:r>
    </w:p>
    <w:p w:rsidR="00E06198" w:rsidRDefault="0006362B" w:rsidP="00E06198">
      <w:pPr>
        <w:pStyle w:val="NoSpacing"/>
        <w:numPr>
          <w:ilvl w:val="0"/>
          <w:numId w:val="5"/>
        </w:numPr>
      </w:pPr>
      <w:r>
        <w:t>How does this training tie to organizational goals?</w:t>
      </w:r>
    </w:p>
    <w:p w:rsidR="00991314" w:rsidRDefault="00991314" w:rsidP="00783334">
      <w:pPr>
        <w:pStyle w:val="NoSpacing"/>
      </w:pPr>
    </w:p>
    <w:p w:rsidR="0097657A" w:rsidRDefault="0097657A" w:rsidP="00783334">
      <w:pPr>
        <w:pStyle w:val="NoSpacing"/>
      </w:pPr>
    </w:p>
    <w:p w:rsidR="00532E88" w:rsidRDefault="00532E88" w:rsidP="00783334">
      <w:pPr>
        <w:pStyle w:val="NoSpacing"/>
      </w:pPr>
    </w:p>
    <w:p w:rsidR="00E22743" w:rsidRDefault="00FC139C" w:rsidP="00783334">
      <w:pPr>
        <w:pStyle w:val="NoSpacing"/>
      </w:pPr>
      <w:r>
        <w:t>As a result of this course, learners will be able to…</w:t>
      </w:r>
    </w:p>
    <w:p w:rsidR="00FC139C" w:rsidRDefault="00FC139C" w:rsidP="00783334">
      <w:pPr>
        <w:pStyle w:val="NoSpacing"/>
      </w:pPr>
    </w:p>
    <w:p w:rsidR="00FC139C" w:rsidRDefault="00FC139C" w:rsidP="00783334">
      <w:pPr>
        <w:pStyle w:val="NoSpacing"/>
      </w:pPr>
      <w:r>
        <w:t>1.</w:t>
      </w:r>
    </w:p>
    <w:p w:rsidR="00FC139C" w:rsidRDefault="00FC139C" w:rsidP="00783334">
      <w:pPr>
        <w:pStyle w:val="NoSpacing"/>
      </w:pPr>
    </w:p>
    <w:p w:rsidR="0097657A" w:rsidRDefault="0097657A" w:rsidP="00783334">
      <w:pPr>
        <w:pStyle w:val="NoSpacing"/>
      </w:pPr>
    </w:p>
    <w:p w:rsidR="00A4727B" w:rsidRDefault="00A4727B" w:rsidP="00783334">
      <w:pPr>
        <w:pStyle w:val="NoSpacing"/>
      </w:pPr>
    </w:p>
    <w:p w:rsidR="00FC139C" w:rsidRDefault="00FC139C" w:rsidP="00783334">
      <w:pPr>
        <w:pStyle w:val="NoSpacing"/>
      </w:pPr>
      <w:r>
        <w:t>2.</w:t>
      </w:r>
    </w:p>
    <w:p w:rsidR="00FC139C" w:rsidRDefault="00FC139C" w:rsidP="00783334">
      <w:pPr>
        <w:pStyle w:val="NoSpacing"/>
      </w:pPr>
    </w:p>
    <w:p w:rsidR="00A4727B" w:rsidRDefault="00A4727B" w:rsidP="00783334">
      <w:pPr>
        <w:pStyle w:val="NoSpacing"/>
      </w:pPr>
    </w:p>
    <w:p w:rsidR="0097657A" w:rsidRDefault="0097657A" w:rsidP="00783334">
      <w:pPr>
        <w:pStyle w:val="NoSpacing"/>
      </w:pPr>
    </w:p>
    <w:p w:rsidR="00FC139C" w:rsidRDefault="00FC139C" w:rsidP="00783334">
      <w:pPr>
        <w:pStyle w:val="NoSpacing"/>
      </w:pPr>
      <w:r>
        <w:t>3.</w:t>
      </w:r>
    </w:p>
    <w:p w:rsidR="00FC139C" w:rsidRDefault="00FC139C" w:rsidP="00783334">
      <w:pPr>
        <w:pStyle w:val="NoSpacing"/>
      </w:pPr>
    </w:p>
    <w:p w:rsidR="00A4727B" w:rsidRDefault="00A4727B" w:rsidP="00783334">
      <w:pPr>
        <w:pStyle w:val="NoSpacing"/>
      </w:pPr>
    </w:p>
    <w:p w:rsidR="0097657A" w:rsidRDefault="0097657A" w:rsidP="00783334">
      <w:pPr>
        <w:pStyle w:val="NoSpacing"/>
      </w:pPr>
    </w:p>
    <w:p w:rsidR="00FC139C" w:rsidRDefault="00FC139C" w:rsidP="00783334">
      <w:pPr>
        <w:pStyle w:val="NoSpacing"/>
      </w:pPr>
      <w:r>
        <w:t>4.</w:t>
      </w:r>
    </w:p>
    <w:p w:rsidR="00FC139C" w:rsidRDefault="00FC139C" w:rsidP="00783334">
      <w:pPr>
        <w:pStyle w:val="NoSpacing"/>
      </w:pPr>
    </w:p>
    <w:p w:rsidR="00A4727B" w:rsidRDefault="00A4727B" w:rsidP="00783334">
      <w:pPr>
        <w:pStyle w:val="NoSpacing"/>
      </w:pPr>
    </w:p>
    <w:p w:rsidR="0097657A" w:rsidRDefault="0097657A" w:rsidP="00783334">
      <w:pPr>
        <w:pStyle w:val="NoSpacing"/>
      </w:pPr>
    </w:p>
    <w:p w:rsidR="00FC139C" w:rsidRDefault="00FC139C" w:rsidP="00783334">
      <w:pPr>
        <w:pStyle w:val="NoSpacing"/>
      </w:pPr>
      <w:r>
        <w:t>5.</w:t>
      </w:r>
    </w:p>
    <w:p w:rsidR="00E06198" w:rsidRDefault="00E06198">
      <w:pPr>
        <w:rPr>
          <w:b/>
        </w:rPr>
      </w:pPr>
      <w:r>
        <w:rPr>
          <w:b/>
        </w:rPr>
        <w:br w:type="page"/>
      </w:r>
    </w:p>
    <w:p w:rsidR="00892FC5" w:rsidRPr="00363A93" w:rsidRDefault="00892FC5" w:rsidP="00892FC5">
      <w:pPr>
        <w:pStyle w:val="Heading1"/>
        <w:spacing w:before="0"/>
        <w:rPr>
          <w:rFonts w:asciiTheme="minorHAnsi" w:hAnsiTheme="minorHAnsi"/>
          <w:color w:val="31849B" w:themeColor="accent5" w:themeShade="BF"/>
        </w:rPr>
      </w:pPr>
      <w:r w:rsidRPr="00363A93">
        <w:rPr>
          <w:rFonts w:asciiTheme="minorHAnsi" w:hAnsiTheme="minorHAnsi"/>
          <w:color w:val="31849B" w:themeColor="accent5" w:themeShade="BF"/>
        </w:rPr>
        <w:lastRenderedPageBreak/>
        <w:t xml:space="preserve">Activity: Pre-storyboard </w:t>
      </w:r>
      <w:r w:rsidR="006C17C3" w:rsidRPr="00363A93">
        <w:rPr>
          <w:rFonts w:asciiTheme="minorHAnsi" w:hAnsiTheme="minorHAnsi"/>
          <w:color w:val="31849B" w:themeColor="accent5" w:themeShade="BF"/>
        </w:rPr>
        <w:t xml:space="preserve">Phase </w:t>
      </w:r>
      <w:r w:rsidRPr="00363A93">
        <w:rPr>
          <w:rFonts w:asciiTheme="minorHAnsi" w:hAnsiTheme="minorHAnsi"/>
          <w:color w:val="31849B" w:themeColor="accent5" w:themeShade="BF"/>
        </w:rPr>
        <w:t>2</w:t>
      </w:r>
    </w:p>
    <w:p w:rsidR="00892FC5" w:rsidRDefault="00892FC5" w:rsidP="00783334">
      <w:pPr>
        <w:pStyle w:val="NoSpacing"/>
        <w:rPr>
          <w:b/>
        </w:rPr>
      </w:pPr>
    </w:p>
    <w:p w:rsidR="00883A97" w:rsidRDefault="00883A97" w:rsidP="00783334">
      <w:pPr>
        <w:pStyle w:val="NoSpacing"/>
        <w:rPr>
          <w:b/>
        </w:rPr>
      </w:pPr>
      <w:r w:rsidRPr="00883A97">
        <w:t>Building</w:t>
      </w:r>
      <w:r>
        <w:t xml:space="preserve"> on the elements define</w:t>
      </w:r>
      <w:r w:rsidR="009B5D8E">
        <w:t>d</w:t>
      </w:r>
      <w:r>
        <w:t xml:space="preserve"> in phase 1, it’s time to start </w:t>
      </w:r>
      <w:r w:rsidR="00100231">
        <w:t>thinking about the</w:t>
      </w:r>
      <w:r>
        <w:t xml:space="preserve"> content</w:t>
      </w:r>
      <w:r w:rsidR="00100231">
        <w:t xml:space="preserve"> for the course</w:t>
      </w:r>
      <w:r>
        <w:t xml:space="preserve">. There are many moving parts to play with, including </w:t>
      </w:r>
      <w:r w:rsidR="005D1353" w:rsidRPr="005D1353">
        <w:rPr>
          <w:b/>
        </w:rPr>
        <w:t xml:space="preserve">learning </w:t>
      </w:r>
      <w:r w:rsidRPr="005D1353">
        <w:rPr>
          <w:b/>
        </w:rPr>
        <w:t>assets</w:t>
      </w:r>
      <w:r w:rsidR="002D67AD">
        <w:t xml:space="preserve"> and </w:t>
      </w:r>
      <w:r w:rsidR="002D67AD">
        <w:rPr>
          <w:b/>
        </w:rPr>
        <w:t>supporting resources</w:t>
      </w:r>
      <w:r>
        <w:t xml:space="preserve">, </w:t>
      </w:r>
      <w:r w:rsidR="006C3175">
        <w:t xml:space="preserve">working with </w:t>
      </w:r>
      <w:r w:rsidR="006C3175" w:rsidRPr="005D1353">
        <w:rPr>
          <w:b/>
        </w:rPr>
        <w:t>subject matter experts</w:t>
      </w:r>
      <w:r w:rsidR="006C3175">
        <w:t xml:space="preserve">, </w:t>
      </w:r>
      <w:r w:rsidR="002D67AD">
        <w:t xml:space="preserve">and </w:t>
      </w:r>
      <w:r w:rsidRPr="005D1353">
        <w:rPr>
          <w:b/>
        </w:rPr>
        <w:t>strategies and engagement techniques</w:t>
      </w:r>
      <w:r>
        <w:t>. All of this is in alignment with the topic focus, audience and learning objectives.</w:t>
      </w:r>
    </w:p>
    <w:p w:rsidR="00883A97" w:rsidRDefault="00883A97" w:rsidP="00783334">
      <w:pPr>
        <w:pStyle w:val="NoSpacing"/>
        <w:rPr>
          <w:b/>
        </w:rPr>
      </w:pPr>
    </w:p>
    <w:p w:rsidR="00FA3BEC" w:rsidRPr="00E00C18" w:rsidRDefault="00FA3BEC" w:rsidP="00783334">
      <w:pPr>
        <w:pStyle w:val="NoSpacing"/>
        <w:rPr>
          <w:b/>
          <w:sz w:val="24"/>
        </w:rPr>
      </w:pPr>
      <w:r w:rsidRPr="00E00C18">
        <w:rPr>
          <w:b/>
          <w:sz w:val="24"/>
        </w:rPr>
        <w:t>Learning Assets</w:t>
      </w:r>
    </w:p>
    <w:p w:rsidR="00FA3BEC" w:rsidRDefault="005432DA" w:rsidP="000157DB">
      <w:pPr>
        <w:pStyle w:val="NoSpacing"/>
      </w:pPr>
      <w:r>
        <w:t>Where are you on the continuum of creating a course entirely from scratch to working with existing content</w:t>
      </w:r>
      <w:r w:rsidR="00770A6E">
        <w:t>?</w:t>
      </w:r>
      <w:r>
        <w:t xml:space="preserve"> Brainstorm what you know about existing learning assets that will help you avoid reinventing the wheel. Assets may include videos, </w:t>
      </w:r>
      <w:proofErr w:type="spellStart"/>
      <w:r w:rsidRPr="005432DA">
        <w:t>screencasts</w:t>
      </w:r>
      <w:proofErr w:type="spellEnd"/>
      <w:r w:rsidRPr="005432DA">
        <w:t>, animations, recorded webinars,</w:t>
      </w:r>
      <w:r>
        <w:t xml:space="preserve"> podcasts, PowerPoint or </w:t>
      </w:r>
      <w:proofErr w:type="spellStart"/>
      <w:r>
        <w:t>Presi</w:t>
      </w:r>
      <w:proofErr w:type="spellEnd"/>
      <w:r>
        <w:t xml:space="preserve"> presentations, and more.</w:t>
      </w:r>
      <w:r w:rsidR="00214962">
        <w:t xml:space="preserve"> You may also want to provide supporting resources that won’t be part of the course but will extend the learning, either as pre-work or for continued exploration of the topic</w:t>
      </w:r>
    </w:p>
    <w:p w:rsidR="005432DA" w:rsidRDefault="005432DA" w:rsidP="000157DB">
      <w:pPr>
        <w:pStyle w:val="NoSpacing"/>
      </w:pPr>
    </w:p>
    <w:p w:rsidR="005432DA" w:rsidRDefault="005432DA" w:rsidP="000157DB">
      <w:pPr>
        <w:pStyle w:val="NoSpacing"/>
      </w:pPr>
      <w:r>
        <w:t>Vet existing assets for:</w:t>
      </w:r>
    </w:p>
    <w:p w:rsidR="005432DA" w:rsidRPr="005432DA" w:rsidRDefault="005432DA" w:rsidP="005432DA">
      <w:pPr>
        <w:pStyle w:val="NoSpacing"/>
        <w:numPr>
          <w:ilvl w:val="2"/>
          <w:numId w:val="7"/>
        </w:numPr>
        <w:ind w:left="1080"/>
      </w:pPr>
      <w:r w:rsidRPr="005432DA">
        <w:t>quality and authority</w:t>
      </w:r>
    </w:p>
    <w:p w:rsidR="005432DA" w:rsidRPr="005432DA" w:rsidRDefault="005432DA" w:rsidP="005432DA">
      <w:pPr>
        <w:pStyle w:val="NoSpacing"/>
        <w:numPr>
          <w:ilvl w:val="2"/>
          <w:numId w:val="7"/>
        </w:numPr>
        <w:ind w:left="1080"/>
      </w:pPr>
      <w:r w:rsidRPr="005432DA">
        <w:t>accessibility</w:t>
      </w:r>
    </w:p>
    <w:p w:rsidR="005432DA" w:rsidRPr="005432DA" w:rsidRDefault="005432DA" w:rsidP="005432DA">
      <w:pPr>
        <w:pStyle w:val="NoSpacing"/>
        <w:numPr>
          <w:ilvl w:val="2"/>
          <w:numId w:val="7"/>
        </w:numPr>
        <w:ind w:left="1080"/>
      </w:pPr>
      <w:r w:rsidRPr="005432DA">
        <w:t>copyright</w:t>
      </w:r>
    </w:p>
    <w:p w:rsidR="005432DA" w:rsidRPr="005432DA" w:rsidRDefault="005432DA" w:rsidP="005432DA">
      <w:pPr>
        <w:pStyle w:val="NoSpacing"/>
        <w:numPr>
          <w:ilvl w:val="2"/>
          <w:numId w:val="7"/>
        </w:numPr>
        <w:ind w:left="1080"/>
      </w:pPr>
      <w:r w:rsidRPr="005432DA">
        <w:t>format</w:t>
      </w:r>
    </w:p>
    <w:p w:rsidR="005432DA" w:rsidRDefault="005432DA" w:rsidP="005432DA">
      <w:pPr>
        <w:pStyle w:val="NoSpacing"/>
        <w:numPr>
          <w:ilvl w:val="2"/>
          <w:numId w:val="7"/>
        </w:numPr>
        <w:ind w:left="1080"/>
      </w:pPr>
      <w:r>
        <w:t xml:space="preserve">currency and need for </w:t>
      </w:r>
      <w:r w:rsidRPr="005432DA">
        <w:t>updating</w:t>
      </w:r>
    </w:p>
    <w:p w:rsidR="006A3BB2" w:rsidRPr="005432DA" w:rsidRDefault="006A3BB2" w:rsidP="005432DA">
      <w:pPr>
        <w:pStyle w:val="NoSpacing"/>
        <w:numPr>
          <w:ilvl w:val="2"/>
          <w:numId w:val="7"/>
        </w:numPr>
        <w:ind w:left="1080"/>
      </w:pPr>
      <w:r>
        <w:t>need for modification</w:t>
      </w:r>
    </w:p>
    <w:p w:rsidR="005432DA" w:rsidRPr="005432DA" w:rsidRDefault="005432DA" w:rsidP="005432DA">
      <w:pPr>
        <w:pStyle w:val="NoSpacing"/>
      </w:pPr>
    </w:p>
    <w:p w:rsidR="00FA3BEC" w:rsidRDefault="00E00C18" w:rsidP="000157DB">
      <w:pPr>
        <w:pStyle w:val="NoSpacing"/>
      </w:pPr>
      <w:r w:rsidRPr="006A3BB2">
        <w:t>What assets are available on your topic?</w:t>
      </w:r>
      <w:r w:rsidR="00A4727B">
        <w:t xml:space="preserve"> </w:t>
      </w:r>
    </w:p>
    <w:p w:rsidR="006A3BB2" w:rsidRDefault="006A3BB2" w:rsidP="000157DB">
      <w:pPr>
        <w:pStyle w:val="NoSpacing"/>
      </w:pPr>
    </w:p>
    <w:tbl>
      <w:tblPr>
        <w:tblStyle w:val="TableGrid"/>
        <w:tblW w:w="0" w:type="auto"/>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Look w:val="04A0"/>
      </w:tblPr>
      <w:tblGrid>
        <w:gridCol w:w="3192"/>
        <w:gridCol w:w="3192"/>
        <w:gridCol w:w="3192"/>
      </w:tblGrid>
      <w:tr w:rsidR="00280D13" w:rsidRPr="007E36D0" w:rsidTr="007E36D0">
        <w:tc>
          <w:tcPr>
            <w:tcW w:w="3192" w:type="dxa"/>
            <w:shd w:val="clear" w:color="auto" w:fill="EAF1DD" w:themeFill="accent3" w:themeFillTint="33"/>
          </w:tcPr>
          <w:p w:rsidR="00280D13" w:rsidRPr="007E36D0" w:rsidRDefault="00280D13" w:rsidP="000157DB">
            <w:pPr>
              <w:pStyle w:val="NoSpacing"/>
              <w:rPr>
                <w:b/>
              </w:rPr>
            </w:pPr>
            <w:r w:rsidRPr="007E36D0">
              <w:rPr>
                <w:b/>
              </w:rPr>
              <w:t>Asset (name &amp; source)</w:t>
            </w:r>
          </w:p>
        </w:tc>
        <w:tc>
          <w:tcPr>
            <w:tcW w:w="3192" w:type="dxa"/>
            <w:shd w:val="clear" w:color="auto" w:fill="EAF1DD" w:themeFill="accent3" w:themeFillTint="33"/>
          </w:tcPr>
          <w:p w:rsidR="00280D13" w:rsidRPr="007E36D0" w:rsidRDefault="00280D13" w:rsidP="000157DB">
            <w:pPr>
              <w:pStyle w:val="NoSpacing"/>
              <w:rPr>
                <w:b/>
              </w:rPr>
            </w:pPr>
            <w:r w:rsidRPr="007E36D0">
              <w:rPr>
                <w:b/>
              </w:rPr>
              <w:t>How it fits with the topic</w:t>
            </w:r>
          </w:p>
        </w:tc>
        <w:tc>
          <w:tcPr>
            <w:tcW w:w="3192" w:type="dxa"/>
            <w:shd w:val="clear" w:color="auto" w:fill="EAF1DD" w:themeFill="accent3" w:themeFillTint="33"/>
          </w:tcPr>
          <w:p w:rsidR="00280D13" w:rsidRPr="007E36D0" w:rsidRDefault="00671630" w:rsidP="000157DB">
            <w:pPr>
              <w:pStyle w:val="NoSpacing"/>
              <w:rPr>
                <w:b/>
              </w:rPr>
            </w:pPr>
            <w:r>
              <w:rPr>
                <w:b/>
              </w:rPr>
              <w:t>M</w:t>
            </w:r>
            <w:r w:rsidR="00280D13" w:rsidRPr="007E36D0">
              <w:rPr>
                <w:b/>
              </w:rPr>
              <w:t>odifications/updates needed</w:t>
            </w:r>
          </w:p>
        </w:tc>
      </w:tr>
      <w:tr w:rsidR="00280D13" w:rsidTr="00F95BD2">
        <w:trPr>
          <w:trHeight w:val="864"/>
        </w:trPr>
        <w:tc>
          <w:tcPr>
            <w:tcW w:w="3192" w:type="dxa"/>
          </w:tcPr>
          <w:p w:rsidR="00280D13" w:rsidRDefault="006C3175" w:rsidP="000157DB">
            <w:pPr>
              <w:pStyle w:val="NoSpacing"/>
            </w:pPr>
            <w:r>
              <w:t>1.</w:t>
            </w:r>
          </w:p>
        </w:tc>
        <w:tc>
          <w:tcPr>
            <w:tcW w:w="3192" w:type="dxa"/>
          </w:tcPr>
          <w:p w:rsidR="00280D13" w:rsidRDefault="00280D13" w:rsidP="000157DB">
            <w:pPr>
              <w:pStyle w:val="NoSpacing"/>
            </w:pPr>
          </w:p>
        </w:tc>
        <w:tc>
          <w:tcPr>
            <w:tcW w:w="3192" w:type="dxa"/>
          </w:tcPr>
          <w:p w:rsidR="00280D13" w:rsidRDefault="00280D13" w:rsidP="000157DB">
            <w:pPr>
              <w:pStyle w:val="NoSpacing"/>
            </w:pPr>
          </w:p>
        </w:tc>
      </w:tr>
      <w:tr w:rsidR="00280D13" w:rsidTr="00F95BD2">
        <w:trPr>
          <w:trHeight w:val="864"/>
        </w:trPr>
        <w:tc>
          <w:tcPr>
            <w:tcW w:w="3192" w:type="dxa"/>
          </w:tcPr>
          <w:p w:rsidR="00280D13" w:rsidRDefault="006C3175" w:rsidP="000157DB">
            <w:pPr>
              <w:pStyle w:val="NoSpacing"/>
            </w:pPr>
            <w:r>
              <w:t>2.</w:t>
            </w:r>
          </w:p>
        </w:tc>
        <w:tc>
          <w:tcPr>
            <w:tcW w:w="3192" w:type="dxa"/>
          </w:tcPr>
          <w:p w:rsidR="00280D13" w:rsidRDefault="00280D13" w:rsidP="000157DB">
            <w:pPr>
              <w:pStyle w:val="NoSpacing"/>
            </w:pPr>
          </w:p>
        </w:tc>
        <w:tc>
          <w:tcPr>
            <w:tcW w:w="3192" w:type="dxa"/>
          </w:tcPr>
          <w:p w:rsidR="00280D13" w:rsidRDefault="00280D13" w:rsidP="000157DB">
            <w:pPr>
              <w:pStyle w:val="NoSpacing"/>
            </w:pPr>
          </w:p>
        </w:tc>
      </w:tr>
      <w:tr w:rsidR="00280D13" w:rsidTr="00F95BD2">
        <w:trPr>
          <w:trHeight w:val="864"/>
        </w:trPr>
        <w:tc>
          <w:tcPr>
            <w:tcW w:w="3192" w:type="dxa"/>
          </w:tcPr>
          <w:p w:rsidR="00280D13" w:rsidRDefault="006C3175" w:rsidP="000157DB">
            <w:pPr>
              <w:pStyle w:val="NoSpacing"/>
            </w:pPr>
            <w:r>
              <w:t>3.</w:t>
            </w:r>
          </w:p>
        </w:tc>
        <w:tc>
          <w:tcPr>
            <w:tcW w:w="3192" w:type="dxa"/>
          </w:tcPr>
          <w:p w:rsidR="00280D13" w:rsidRDefault="00280D13" w:rsidP="000157DB">
            <w:pPr>
              <w:pStyle w:val="NoSpacing"/>
            </w:pPr>
          </w:p>
        </w:tc>
        <w:tc>
          <w:tcPr>
            <w:tcW w:w="3192" w:type="dxa"/>
          </w:tcPr>
          <w:p w:rsidR="00280D13" w:rsidRDefault="00280D13" w:rsidP="000157DB">
            <w:pPr>
              <w:pStyle w:val="NoSpacing"/>
            </w:pPr>
          </w:p>
        </w:tc>
      </w:tr>
      <w:tr w:rsidR="00280D13" w:rsidTr="00F95BD2">
        <w:trPr>
          <w:trHeight w:val="864"/>
        </w:trPr>
        <w:tc>
          <w:tcPr>
            <w:tcW w:w="3192" w:type="dxa"/>
          </w:tcPr>
          <w:p w:rsidR="00280D13" w:rsidRDefault="006C3175" w:rsidP="000157DB">
            <w:pPr>
              <w:pStyle w:val="NoSpacing"/>
            </w:pPr>
            <w:r>
              <w:t>4.</w:t>
            </w:r>
          </w:p>
        </w:tc>
        <w:tc>
          <w:tcPr>
            <w:tcW w:w="3192" w:type="dxa"/>
          </w:tcPr>
          <w:p w:rsidR="00280D13" w:rsidRDefault="00280D13" w:rsidP="000157DB">
            <w:pPr>
              <w:pStyle w:val="NoSpacing"/>
            </w:pPr>
          </w:p>
        </w:tc>
        <w:tc>
          <w:tcPr>
            <w:tcW w:w="3192" w:type="dxa"/>
          </w:tcPr>
          <w:p w:rsidR="00280D13" w:rsidRDefault="00280D13" w:rsidP="000157DB">
            <w:pPr>
              <w:pStyle w:val="NoSpacing"/>
            </w:pPr>
          </w:p>
        </w:tc>
      </w:tr>
      <w:tr w:rsidR="006C3175" w:rsidTr="00F95BD2">
        <w:trPr>
          <w:trHeight w:val="864"/>
        </w:trPr>
        <w:tc>
          <w:tcPr>
            <w:tcW w:w="3192" w:type="dxa"/>
          </w:tcPr>
          <w:p w:rsidR="006C3175" w:rsidRDefault="006C3175" w:rsidP="000157DB">
            <w:pPr>
              <w:pStyle w:val="NoSpacing"/>
            </w:pPr>
            <w:r>
              <w:t xml:space="preserve">5. </w:t>
            </w:r>
          </w:p>
        </w:tc>
        <w:tc>
          <w:tcPr>
            <w:tcW w:w="3192" w:type="dxa"/>
          </w:tcPr>
          <w:p w:rsidR="006C3175" w:rsidRDefault="006C3175" w:rsidP="000157DB">
            <w:pPr>
              <w:pStyle w:val="NoSpacing"/>
            </w:pPr>
          </w:p>
        </w:tc>
        <w:tc>
          <w:tcPr>
            <w:tcW w:w="3192" w:type="dxa"/>
          </w:tcPr>
          <w:p w:rsidR="006C3175" w:rsidRDefault="006C3175" w:rsidP="000157DB">
            <w:pPr>
              <w:pStyle w:val="NoSpacing"/>
            </w:pPr>
          </w:p>
        </w:tc>
      </w:tr>
      <w:tr w:rsidR="006A5E38" w:rsidTr="00F95BD2">
        <w:trPr>
          <w:trHeight w:val="864"/>
        </w:trPr>
        <w:tc>
          <w:tcPr>
            <w:tcW w:w="3192" w:type="dxa"/>
          </w:tcPr>
          <w:p w:rsidR="006A5E38" w:rsidRDefault="006A5E38" w:rsidP="000157DB">
            <w:pPr>
              <w:pStyle w:val="NoSpacing"/>
            </w:pPr>
            <w:r>
              <w:t>6.</w:t>
            </w:r>
          </w:p>
        </w:tc>
        <w:tc>
          <w:tcPr>
            <w:tcW w:w="3192" w:type="dxa"/>
          </w:tcPr>
          <w:p w:rsidR="006A5E38" w:rsidRDefault="006A5E38" w:rsidP="000157DB">
            <w:pPr>
              <w:pStyle w:val="NoSpacing"/>
            </w:pPr>
          </w:p>
        </w:tc>
        <w:tc>
          <w:tcPr>
            <w:tcW w:w="3192" w:type="dxa"/>
          </w:tcPr>
          <w:p w:rsidR="006A5E38" w:rsidRDefault="006A5E38" w:rsidP="000157DB">
            <w:pPr>
              <w:pStyle w:val="NoSpacing"/>
            </w:pPr>
          </w:p>
        </w:tc>
      </w:tr>
    </w:tbl>
    <w:p w:rsidR="00F95BD2" w:rsidRDefault="00F95BD2" w:rsidP="000157DB">
      <w:pPr>
        <w:pStyle w:val="NoSpacing"/>
        <w:rPr>
          <w:b/>
          <w:sz w:val="24"/>
        </w:rPr>
      </w:pPr>
    </w:p>
    <w:p w:rsidR="00F95BD2" w:rsidRDefault="00F95BD2">
      <w:pPr>
        <w:rPr>
          <w:b/>
          <w:sz w:val="24"/>
        </w:rPr>
      </w:pPr>
      <w:r>
        <w:rPr>
          <w:b/>
          <w:sz w:val="24"/>
        </w:rPr>
        <w:br w:type="page"/>
      </w:r>
    </w:p>
    <w:p w:rsidR="00E57B93" w:rsidRPr="00E57B93" w:rsidRDefault="00E57B93" w:rsidP="000157DB">
      <w:pPr>
        <w:pStyle w:val="NoSpacing"/>
        <w:rPr>
          <w:b/>
          <w:sz w:val="24"/>
        </w:rPr>
      </w:pPr>
      <w:r w:rsidRPr="00E57B93">
        <w:rPr>
          <w:b/>
          <w:sz w:val="24"/>
        </w:rPr>
        <w:lastRenderedPageBreak/>
        <w:t>SMEs (Subject Matter Experts)</w:t>
      </w:r>
    </w:p>
    <w:p w:rsidR="00E57B93" w:rsidRDefault="00E57B93" w:rsidP="000157DB">
      <w:pPr>
        <w:pStyle w:val="NoSpacing"/>
      </w:pPr>
    </w:p>
    <w:p w:rsidR="00E57B93" w:rsidRDefault="00E57B93" w:rsidP="000157DB">
      <w:pPr>
        <w:pStyle w:val="NoSpacing"/>
      </w:pPr>
      <w:r>
        <w:t>The WebJunction model uses a recorded webinar as the main source of subject matter expertise. This eliminates the back-and-forth communications and negotiations with SMEs in the course development phase but it still requires careful planning to produce a successful webinar.</w:t>
      </w:r>
    </w:p>
    <w:p w:rsidR="000269B3" w:rsidRDefault="006D10CA" w:rsidP="00F20778">
      <w:pPr>
        <w:pStyle w:val="NoSpacing"/>
        <w:numPr>
          <w:ilvl w:val="0"/>
          <w:numId w:val="8"/>
        </w:numPr>
      </w:pPr>
      <w:r>
        <w:t xml:space="preserve">WebJunction shares best </w:t>
      </w:r>
      <w:r w:rsidR="007E2ABD">
        <w:t xml:space="preserve">webinar production </w:t>
      </w:r>
      <w:r>
        <w:t>practices in their</w:t>
      </w:r>
      <w:r w:rsidR="00E57B93">
        <w:t xml:space="preserve"> </w:t>
      </w:r>
      <w:hyperlink r:id="rId17" w:history="1">
        <w:r w:rsidR="00E57B93" w:rsidRPr="000269B3">
          <w:rPr>
            <w:rStyle w:val="Hyperlink"/>
          </w:rPr>
          <w:t>Guide to Successful Webinars</w:t>
        </w:r>
      </w:hyperlink>
      <w:r w:rsidR="00F20778">
        <w:t xml:space="preserve"> </w:t>
      </w:r>
      <w:r w:rsidR="00F20778">
        <w:br/>
        <w:t>(</w:t>
      </w:r>
      <w:hyperlink r:id="rId18" w:history="1">
        <w:r w:rsidR="000269B3" w:rsidRPr="00B10815">
          <w:rPr>
            <w:rStyle w:val="Hyperlink"/>
          </w:rPr>
          <w:t>http://www.webjunction.org/documents/webjunction/guide-to-successful-webinars.html</w:t>
        </w:r>
      </w:hyperlink>
      <w:r w:rsidR="000269B3">
        <w:t xml:space="preserve"> </w:t>
      </w:r>
      <w:r w:rsidR="00F20778">
        <w:t>)</w:t>
      </w:r>
    </w:p>
    <w:p w:rsidR="00E57B93" w:rsidRDefault="00E57B93" w:rsidP="000157DB">
      <w:pPr>
        <w:pStyle w:val="NoSpacing"/>
      </w:pPr>
    </w:p>
    <w:p w:rsidR="00E57B93" w:rsidRDefault="00E57B93" w:rsidP="000157DB">
      <w:pPr>
        <w:pStyle w:val="NoSpacing"/>
      </w:pPr>
      <w:r>
        <w:t>Infopeople works actively with SMEs t</w:t>
      </w:r>
      <w:r w:rsidR="00F20778">
        <w:t>o develop their online courses, as do many dedicated instructional designers. It can be a delicate working relationship.</w:t>
      </w:r>
    </w:p>
    <w:p w:rsidR="00F20778" w:rsidRDefault="003B7736" w:rsidP="00F20778">
      <w:pPr>
        <w:pStyle w:val="NoSpacing"/>
        <w:numPr>
          <w:ilvl w:val="0"/>
          <w:numId w:val="8"/>
        </w:numPr>
      </w:pPr>
      <w:r>
        <w:t>Tom Kuhl</w:t>
      </w:r>
      <w:r w:rsidR="00F20778">
        <w:t xml:space="preserve">man (Rapid E-Learning Blog) has some words of wisdom and experience about </w:t>
      </w:r>
      <w:hyperlink r:id="rId19" w:history="1">
        <w:r w:rsidR="00F20778" w:rsidRPr="00B55886">
          <w:rPr>
            <w:rStyle w:val="Hyperlink"/>
          </w:rPr>
          <w:t>How to Overcome the Challenge of Working with Subject Matter Experts</w:t>
        </w:r>
      </w:hyperlink>
      <w:r w:rsidR="00F20778">
        <w:br/>
        <w:t>(</w:t>
      </w:r>
      <w:hyperlink r:id="rId20" w:history="1">
        <w:r w:rsidR="00F20778" w:rsidRPr="00B10815">
          <w:rPr>
            <w:rStyle w:val="Hyperlink"/>
          </w:rPr>
          <w:t>http://www.articulate.com/rapid-elearning/how-to-overcome-the-challenge-of-working-with-subject-matter-experts/</w:t>
        </w:r>
      </w:hyperlink>
      <w:r w:rsidR="00F20778">
        <w:t xml:space="preserve"> )</w:t>
      </w:r>
    </w:p>
    <w:p w:rsidR="00E57B93" w:rsidRDefault="00E57B93" w:rsidP="000157DB">
      <w:pPr>
        <w:pStyle w:val="NoSpacing"/>
      </w:pPr>
    </w:p>
    <w:p w:rsidR="00817EC9" w:rsidRDefault="000924E9" w:rsidP="000157DB">
      <w:pPr>
        <w:pStyle w:val="NoSpacing"/>
      </w:pPr>
      <w:r>
        <w:rPr>
          <w:noProof/>
        </w:rPr>
        <w:drawing>
          <wp:anchor distT="0" distB="0" distL="114300" distR="114300" simplePos="0" relativeHeight="251659264" behindDoc="0" locked="0" layoutInCell="1" allowOverlap="1">
            <wp:simplePos x="0" y="0"/>
            <wp:positionH relativeFrom="column">
              <wp:posOffset>3882390</wp:posOffset>
            </wp:positionH>
            <wp:positionV relativeFrom="page">
              <wp:posOffset>3649980</wp:posOffset>
            </wp:positionV>
            <wp:extent cx="1832610" cy="1623060"/>
            <wp:effectExtent l="19050" t="0" r="0" b="0"/>
            <wp:wrapSquare wrapText="bothSides"/>
            <wp:docPr id="10" name="Picture 10" descr="C:\Users\gutscheb\AppData\Local\Microsoft\Windows\Temporary Internet Files\Content.IE5\6I4SV274\MC900300954[1].wmf"/>
            <wp:cNvGraphicFramePr/>
            <a:graphic xmlns:a="http://schemas.openxmlformats.org/drawingml/2006/main">
              <a:graphicData uri="http://schemas.openxmlformats.org/drawingml/2006/picture">
                <pic:pic xmlns:pic="http://schemas.openxmlformats.org/drawingml/2006/picture">
                  <pic:nvPicPr>
                    <pic:cNvPr id="1026" name="Picture 2" descr="C:\Users\gutscheb\AppData\Local\Microsoft\Windows\Temporary Internet Files\Content.IE5\6I4SV274\MC900300954[1].wmf"/>
                    <pic:cNvPicPr>
                      <a:picLocks noChangeAspect="1" noChangeArrowheads="1"/>
                    </pic:cNvPicPr>
                  </pic:nvPicPr>
                  <pic:blipFill>
                    <a:blip r:embed="rId21" cstate="print">
                      <a:duotone>
                        <a:schemeClr val="accent6">
                          <a:shade val="45000"/>
                          <a:satMod val="135000"/>
                        </a:schemeClr>
                        <a:prstClr val="white"/>
                      </a:duotone>
                    </a:blip>
                    <a:srcRect/>
                    <a:stretch>
                      <a:fillRect/>
                    </a:stretch>
                  </pic:blipFill>
                  <pic:spPr bwMode="auto">
                    <a:xfrm>
                      <a:off x="0" y="0"/>
                      <a:ext cx="1832610" cy="1623060"/>
                    </a:xfrm>
                    <a:prstGeom prst="rect">
                      <a:avLst/>
                    </a:prstGeom>
                    <a:noFill/>
                  </pic:spPr>
                </pic:pic>
              </a:graphicData>
            </a:graphic>
          </wp:anchor>
        </w:drawing>
      </w:r>
      <w:r w:rsidR="00817EC9">
        <w:t xml:space="preserve">Who are your </w:t>
      </w:r>
      <w:r w:rsidR="00250C66">
        <w:t xml:space="preserve">potential </w:t>
      </w:r>
      <w:r w:rsidR="00817EC9">
        <w:t>SMEs?</w:t>
      </w:r>
    </w:p>
    <w:p w:rsidR="00E57B93" w:rsidRDefault="00E57B93" w:rsidP="000157DB">
      <w:pPr>
        <w:pStyle w:val="NoSpacing"/>
      </w:pPr>
    </w:p>
    <w:p w:rsidR="00072DE8" w:rsidRDefault="00072DE8" w:rsidP="00072DE8">
      <w:pPr>
        <w:pStyle w:val="NoSpacing"/>
      </w:pPr>
      <w:r>
        <w:t>1.</w:t>
      </w:r>
    </w:p>
    <w:p w:rsidR="00072DE8" w:rsidRDefault="00072DE8" w:rsidP="00072DE8">
      <w:pPr>
        <w:pStyle w:val="NoSpacing"/>
      </w:pPr>
    </w:p>
    <w:p w:rsidR="00072DE8" w:rsidRDefault="00072DE8" w:rsidP="00072DE8">
      <w:pPr>
        <w:pStyle w:val="NoSpacing"/>
      </w:pPr>
    </w:p>
    <w:p w:rsidR="00072DE8" w:rsidRDefault="00072DE8" w:rsidP="00072DE8">
      <w:pPr>
        <w:pStyle w:val="NoSpacing"/>
      </w:pPr>
    </w:p>
    <w:p w:rsidR="00072DE8" w:rsidRDefault="00072DE8" w:rsidP="00072DE8">
      <w:pPr>
        <w:pStyle w:val="NoSpacing"/>
      </w:pPr>
      <w:r>
        <w:t>2.</w:t>
      </w:r>
    </w:p>
    <w:p w:rsidR="00072DE8" w:rsidRDefault="00072DE8" w:rsidP="00072DE8">
      <w:pPr>
        <w:pStyle w:val="NoSpacing"/>
      </w:pPr>
    </w:p>
    <w:p w:rsidR="00072DE8" w:rsidRDefault="00072DE8" w:rsidP="00072DE8">
      <w:pPr>
        <w:pStyle w:val="NoSpacing"/>
      </w:pPr>
    </w:p>
    <w:p w:rsidR="00072DE8" w:rsidRDefault="00072DE8" w:rsidP="00072DE8">
      <w:pPr>
        <w:pStyle w:val="NoSpacing"/>
      </w:pPr>
    </w:p>
    <w:p w:rsidR="00072DE8" w:rsidRDefault="00072DE8" w:rsidP="00072DE8">
      <w:pPr>
        <w:pStyle w:val="NoSpacing"/>
      </w:pPr>
      <w:r>
        <w:t>3.</w:t>
      </w:r>
    </w:p>
    <w:p w:rsidR="00072DE8" w:rsidRDefault="00072DE8" w:rsidP="00072DE8">
      <w:pPr>
        <w:pStyle w:val="NoSpacing"/>
      </w:pPr>
    </w:p>
    <w:p w:rsidR="00072DE8" w:rsidRDefault="00072DE8" w:rsidP="00072DE8">
      <w:pPr>
        <w:pStyle w:val="NoSpacing"/>
      </w:pPr>
    </w:p>
    <w:p w:rsidR="00072DE8" w:rsidRDefault="00072DE8" w:rsidP="00072DE8">
      <w:pPr>
        <w:pStyle w:val="NoSpacing"/>
      </w:pPr>
    </w:p>
    <w:p w:rsidR="00072DE8" w:rsidRDefault="00072DE8" w:rsidP="00072DE8">
      <w:pPr>
        <w:pStyle w:val="NoSpacing"/>
      </w:pPr>
      <w:r>
        <w:t>4.</w:t>
      </w:r>
    </w:p>
    <w:p w:rsidR="00072DE8" w:rsidRDefault="00072DE8" w:rsidP="00072DE8">
      <w:pPr>
        <w:pStyle w:val="NoSpacing"/>
      </w:pPr>
    </w:p>
    <w:p w:rsidR="00072DE8" w:rsidRDefault="00072DE8" w:rsidP="00072DE8">
      <w:pPr>
        <w:pStyle w:val="NoSpacing"/>
      </w:pPr>
    </w:p>
    <w:p w:rsidR="00072DE8" w:rsidRDefault="00072DE8" w:rsidP="00072DE8">
      <w:pPr>
        <w:pStyle w:val="NoSpacing"/>
      </w:pPr>
    </w:p>
    <w:p w:rsidR="00072DE8" w:rsidRDefault="00072DE8" w:rsidP="00072DE8">
      <w:pPr>
        <w:pStyle w:val="NoSpacing"/>
      </w:pPr>
      <w:r>
        <w:t>5.</w:t>
      </w:r>
    </w:p>
    <w:p w:rsidR="00250C66" w:rsidRDefault="00250C66" w:rsidP="000157DB">
      <w:pPr>
        <w:pStyle w:val="NoSpacing"/>
        <w:rPr>
          <w:b/>
        </w:rPr>
      </w:pPr>
    </w:p>
    <w:p w:rsidR="00250C66" w:rsidRDefault="00250C66" w:rsidP="000157DB">
      <w:pPr>
        <w:pStyle w:val="NoSpacing"/>
        <w:rPr>
          <w:b/>
        </w:rPr>
      </w:pPr>
    </w:p>
    <w:p w:rsidR="00250C66" w:rsidRDefault="00250C66" w:rsidP="000157DB">
      <w:pPr>
        <w:pStyle w:val="NoSpacing"/>
      </w:pPr>
    </w:p>
    <w:p w:rsidR="00250C66" w:rsidRPr="00250C66" w:rsidRDefault="00250C66" w:rsidP="000157DB">
      <w:pPr>
        <w:pStyle w:val="NoSpacing"/>
      </w:pPr>
    </w:p>
    <w:p w:rsidR="00371EEC" w:rsidRDefault="00371EEC">
      <w:r>
        <w:br w:type="page"/>
      </w:r>
    </w:p>
    <w:p w:rsidR="00F24110" w:rsidRPr="00371EEC" w:rsidRDefault="00F24110" w:rsidP="00F24110">
      <w:pPr>
        <w:pStyle w:val="NoSpacing"/>
        <w:rPr>
          <w:b/>
          <w:sz w:val="24"/>
        </w:rPr>
      </w:pPr>
      <w:r w:rsidRPr="00371EEC">
        <w:rPr>
          <w:b/>
          <w:sz w:val="24"/>
        </w:rPr>
        <w:lastRenderedPageBreak/>
        <w:t xml:space="preserve">Strategies and </w:t>
      </w:r>
      <w:r w:rsidR="00371EEC" w:rsidRPr="00371EEC">
        <w:rPr>
          <w:b/>
          <w:sz w:val="24"/>
        </w:rPr>
        <w:t>Engagement Techniques</w:t>
      </w:r>
    </w:p>
    <w:p w:rsidR="00F24110" w:rsidRDefault="00371EEC" w:rsidP="000157DB">
      <w:pPr>
        <w:pStyle w:val="NoSpacing"/>
      </w:pPr>
      <w:r>
        <w:t>This gets down to the real nitty</w:t>
      </w:r>
      <w:r w:rsidR="00422BA1">
        <w:t>-gritty of instructional design for self-paced e-learning: how will you amplify the basic content and information in order to engage your learners and help them apply and solidify the new skills and knowledge?</w:t>
      </w:r>
    </w:p>
    <w:p w:rsidR="00F24110" w:rsidRDefault="00F24110" w:rsidP="000157DB">
      <w:pPr>
        <w:pStyle w:val="NoSpacing"/>
      </w:pPr>
    </w:p>
    <w:p w:rsidR="000157DB" w:rsidRDefault="000157DB" w:rsidP="000157DB">
      <w:pPr>
        <w:pStyle w:val="NoSpacing"/>
      </w:pPr>
      <w:r>
        <w:t>3 key principles</w:t>
      </w:r>
    </w:p>
    <w:p w:rsidR="002819AC" w:rsidRPr="00D04255" w:rsidRDefault="00C33477" w:rsidP="00D04255">
      <w:pPr>
        <w:pStyle w:val="NoSpacing"/>
        <w:numPr>
          <w:ilvl w:val="0"/>
          <w:numId w:val="9"/>
        </w:numPr>
      </w:pPr>
      <w:r w:rsidRPr="00D04255">
        <w:rPr>
          <w:b/>
          <w:bCs/>
        </w:rPr>
        <w:t>Show</w:t>
      </w:r>
      <w:r w:rsidRPr="00D04255">
        <w:t xml:space="preserve"> rather than tell</w:t>
      </w:r>
    </w:p>
    <w:p w:rsidR="002819AC" w:rsidRPr="00D04255" w:rsidRDefault="00C33477" w:rsidP="00D04255">
      <w:pPr>
        <w:pStyle w:val="NoSpacing"/>
        <w:numPr>
          <w:ilvl w:val="0"/>
          <w:numId w:val="9"/>
        </w:numPr>
      </w:pPr>
      <w:r w:rsidRPr="00D04255">
        <w:t xml:space="preserve">Design </w:t>
      </w:r>
      <w:r w:rsidRPr="00D04255">
        <w:rPr>
          <w:b/>
          <w:bCs/>
        </w:rPr>
        <w:t>experiences</w:t>
      </w:r>
      <w:r w:rsidRPr="00D04255">
        <w:t xml:space="preserve"> not information</w:t>
      </w:r>
    </w:p>
    <w:p w:rsidR="002819AC" w:rsidRPr="00D04255" w:rsidRDefault="00C33477" w:rsidP="00D04255">
      <w:pPr>
        <w:pStyle w:val="NoSpacing"/>
        <w:numPr>
          <w:ilvl w:val="0"/>
          <w:numId w:val="9"/>
        </w:numPr>
      </w:pPr>
      <w:r w:rsidRPr="00D04255">
        <w:t xml:space="preserve">Provide a </w:t>
      </w:r>
      <w:r w:rsidRPr="00D04255">
        <w:rPr>
          <w:b/>
          <w:bCs/>
        </w:rPr>
        <w:t xml:space="preserve">relevant context </w:t>
      </w:r>
      <w:r w:rsidRPr="00D04255">
        <w:t>to connect the learning to the real world</w:t>
      </w:r>
    </w:p>
    <w:p w:rsidR="00D04255" w:rsidRDefault="00D04255" w:rsidP="000157DB">
      <w:pPr>
        <w:pStyle w:val="NoSpacing"/>
      </w:pPr>
    </w:p>
    <w:p w:rsidR="00D04255" w:rsidRDefault="00CF2249" w:rsidP="000157DB">
      <w:pPr>
        <w:pStyle w:val="NoSpacing"/>
      </w:pPr>
      <w:r>
        <w:t>Expanding on the principles (adapted from Cathy Moore)</w:t>
      </w:r>
    </w:p>
    <w:p w:rsidR="00CF2249" w:rsidRPr="00CF2249" w:rsidRDefault="00CF2249" w:rsidP="00CF2249">
      <w:pPr>
        <w:pStyle w:val="NoSpacing"/>
        <w:numPr>
          <w:ilvl w:val="2"/>
          <w:numId w:val="7"/>
        </w:numPr>
        <w:ind w:left="360"/>
      </w:pPr>
      <w:r>
        <w:t xml:space="preserve">Design interactions to </w:t>
      </w:r>
      <w:r w:rsidRPr="00CF2249">
        <w:t>help learners practice the action(s)</w:t>
      </w:r>
      <w:r>
        <w:t xml:space="preserve"> to gain skill or knowledge.</w:t>
      </w:r>
    </w:p>
    <w:p w:rsidR="00CF2249" w:rsidRDefault="00E32695" w:rsidP="00CF2249">
      <w:pPr>
        <w:pStyle w:val="NoSpacing"/>
        <w:numPr>
          <w:ilvl w:val="2"/>
          <w:numId w:val="7"/>
        </w:numPr>
        <w:ind w:left="360"/>
      </w:pPr>
      <w:r>
        <w:t xml:space="preserve">Chunk the content; </w:t>
      </w:r>
      <w:r w:rsidR="00CF2249">
        <w:t xml:space="preserve">think </w:t>
      </w:r>
      <w:r>
        <w:t>“</w:t>
      </w:r>
      <w:r w:rsidR="00CF2249">
        <w:t>bite-size.”</w:t>
      </w:r>
    </w:p>
    <w:p w:rsidR="00CF2249" w:rsidRDefault="00CF2249" w:rsidP="00CF2249">
      <w:pPr>
        <w:pStyle w:val="NoSpacing"/>
        <w:numPr>
          <w:ilvl w:val="2"/>
          <w:numId w:val="7"/>
        </w:numPr>
        <w:ind w:left="360"/>
      </w:pPr>
      <w:r>
        <w:t>Provide</w:t>
      </w:r>
      <w:r w:rsidRPr="00CF2249">
        <w:t xml:space="preserve"> realistic scenario/simulation of what they’d be doing on the job</w:t>
      </w:r>
      <w:r>
        <w:t xml:space="preserve">. </w:t>
      </w:r>
      <w:r w:rsidRPr="00CF2249">
        <w:t>Add realistic complications or nuances to scenarios</w:t>
      </w:r>
      <w:r>
        <w:t>.</w:t>
      </w:r>
    </w:p>
    <w:p w:rsidR="00CF2249" w:rsidRDefault="00CF2249" w:rsidP="00CF2249">
      <w:pPr>
        <w:pStyle w:val="NoSpacing"/>
        <w:numPr>
          <w:ilvl w:val="2"/>
          <w:numId w:val="7"/>
        </w:numPr>
        <w:ind w:left="360"/>
      </w:pPr>
      <w:r>
        <w:t>Create challenges or problems to solve; make information an optional part of the activity for the user to access as needed.</w:t>
      </w:r>
    </w:p>
    <w:p w:rsidR="00CF2249" w:rsidRPr="00CF2249" w:rsidRDefault="00CF2249" w:rsidP="00CF2249">
      <w:pPr>
        <w:pStyle w:val="NoSpacing"/>
        <w:numPr>
          <w:ilvl w:val="2"/>
          <w:numId w:val="7"/>
        </w:numPr>
        <w:ind w:left="360"/>
      </w:pPr>
      <w:r w:rsidRPr="00CF2249">
        <w:t>Use different interactions throughout the course to keep learner</w:t>
      </w:r>
      <w:r w:rsidR="00E32695">
        <w:t>s</w:t>
      </w:r>
      <w:r w:rsidRPr="00CF2249">
        <w:t xml:space="preserve"> engaged.</w:t>
      </w:r>
    </w:p>
    <w:p w:rsidR="00CF2249" w:rsidRDefault="00CF2249" w:rsidP="00CF2249">
      <w:pPr>
        <w:pStyle w:val="NoSpacing"/>
        <w:numPr>
          <w:ilvl w:val="2"/>
          <w:numId w:val="7"/>
        </w:numPr>
        <w:ind w:left="360"/>
      </w:pPr>
      <w:r>
        <w:t>Insert</w:t>
      </w:r>
      <w:r w:rsidRPr="00CF2249">
        <w:t xml:space="preserve"> knowledge checks </w:t>
      </w:r>
      <w:r>
        <w:t xml:space="preserve">after content chunks </w:t>
      </w:r>
      <w:r w:rsidRPr="00CF2249">
        <w:t>to help participants measure their learning incrementally.</w:t>
      </w:r>
      <w:r>
        <w:t xml:space="preserve"> Use these checks or quizzes </w:t>
      </w:r>
      <w:r w:rsidRPr="00CF2249">
        <w:t>to engage the learner</w:t>
      </w:r>
      <w:r w:rsidR="00E32695">
        <w:t>,</w:t>
      </w:r>
      <w:r w:rsidRPr="00CF2249">
        <w:t xml:space="preserve"> not to punish.</w:t>
      </w:r>
    </w:p>
    <w:p w:rsidR="00CF2249" w:rsidRPr="00CF2249" w:rsidRDefault="00CF2249" w:rsidP="00CF2249">
      <w:pPr>
        <w:pStyle w:val="NoSpacing"/>
        <w:numPr>
          <w:ilvl w:val="0"/>
          <w:numId w:val="10"/>
        </w:numPr>
        <w:ind w:left="360"/>
      </w:pPr>
      <w:r>
        <w:t>P</w:t>
      </w:r>
      <w:r w:rsidRPr="00CF2249">
        <w:t xml:space="preserve">rovide feedback </w:t>
      </w:r>
      <w:r>
        <w:t xml:space="preserve">or answers to quiz questions in a way </w:t>
      </w:r>
      <w:r w:rsidRPr="00CF2249">
        <w:t>that enhances learning</w:t>
      </w:r>
      <w:r>
        <w:t>. Avoid unconstructive “correct” or “incorrect” feedback.</w:t>
      </w:r>
    </w:p>
    <w:p w:rsidR="00E57F6E" w:rsidRDefault="00E57F6E" w:rsidP="00FB739A">
      <w:pPr>
        <w:pStyle w:val="NoSpacing"/>
      </w:pPr>
    </w:p>
    <w:p w:rsidR="00FB739A" w:rsidRDefault="003B7883" w:rsidP="00FB739A">
      <w:pPr>
        <w:pStyle w:val="NoSpacing"/>
      </w:pPr>
      <w:r>
        <w:t>Brainstorm potential interactions, activities, scenarios, etc. to engage your learners in the topic and move them toward achievement of the desired learning outcomes. Leave it very open at this stage, introducing many possibilities and letting ideas flow.</w:t>
      </w:r>
    </w:p>
    <w:p w:rsidR="000157DB" w:rsidRDefault="000157DB" w:rsidP="00FB739A">
      <w:pPr>
        <w:pStyle w:val="NoSpacing"/>
      </w:pPr>
    </w:p>
    <w:p w:rsidR="00470CE0" w:rsidRDefault="00470CE0">
      <w:r>
        <w:br w:type="page"/>
      </w:r>
    </w:p>
    <w:p w:rsidR="00BE747C" w:rsidRPr="00363A93" w:rsidRDefault="00BE747C" w:rsidP="00BE747C">
      <w:pPr>
        <w:pStyle w:val="Heading1"/>
        <w:spacing w:before="0"/>
        <w:rPr>
          <w:rFonts w:asciiTheme="minorHAnsi" w:hAnsiTheme="minorHAnsi"/>
          <w:color w:val="31849B" w:themeColor="accent5" w:themeShade="BF"/>
        </w:rPr>
      </w:pPr>
      <w:r w:rsidRPr="00363A93">
        <w:rPr>
          <w:rFonts w:asciiTheme="minorHAnsi" w:hAnsiTheme="minorHAnsi"/>
          <w:color w:val="31849B" w:themeColor="accent5" w:themeShade="BF"/>
        </w:rPr>
        <w:lastRenderedPageBreak/>
        <w:t>Storyboarding for Real</w:t>
      </w:r>
    </w:p>
    <w:p w:rsidR="00470CE0" w:rsidRDefault="00470CE0" w:rsidP="00371EEC">
      <w:pPr>
        <w:pStyle w:val="NoSpacing"/>
      </w:pPr>
    </w:p>
    <w:p w:rsidR="00E571C5" w:rsidRDefault="002C7D9D" w:rsidP="000157DB">
      <w:pPr>
        <w:pStyle w:val="NoSpacing"/>
      </w:pPr>
      <w:r>
        <w:t xml:space="preserve">Now that you’ve brainstormed and considered the integration of the many elements of your course, you can get serious about outlining the </w:t>
      </w:r>
      <w:r w:rsidR="00371EEC">
        <w:t>actual course content</w:t>
      </w:r>
      <w:r>
        <w:t>. Th</w:t>
      </w:r>
      <w:r w:rsidR="00397FDB">
        <w:t>is is where you clearly define the content chunks, the sequence and flow, the insertion of knowledge checks and other interactions. Identify and assemble images or other media resources to be used. Sketch out the text or narration to accompany each segment.</w:t>
      </w:r>
    </w:p>
    <w:p w:rsidR="000157DB" w:rsidRDefault="000157DB" w:rsidP="00FB739A">
      <w:pPr>
        <w:pStyle w:val="NoSpacing"/>
      </w:pPr>
    </w:p>
    <w:p w:rsidR="00851001" w:rsidRPr="00A26FA2" w:rsidRDefault="00A46B09" w:rsidP="00FB739A">
      <w:pPr>
        <w:pStyle w:val="NoSpacing"/>
        <w:rPr>
          <w:b/>
          <w:sz w:val="24"/>
        </w:rPr>
      </w:pPr>
      <w:r w:rsidRPr="0065768E">
        <w:rPr>
          <w:b/>
          <w:sz w:val="24"/>
        </w:rPr>
        <w:t>Course outline</w:t>
      </w:r>
    </w:p>
    <w:p w:rsidR="00460FB2" w:rsidRDefault="00851001" w:rsidP="00FB739A">
      <w:pPr>
        <w:pStyle w:val="NoSpacing"/>
      </w:pPr>
      <w:r>
        <w:t>This is all about determining the sequence and flow.</w:t>
      </w:r>
    </w:p>
    <w:p w:rsidR="00460FB2" w:rsidRDefault="00460FB2" w:rsidP="00460FB2">
      <w:pPr>
        <w:pStyle w:val="NoSpacing"/>
        <w:numPr>
          <w:ilvl w:val="0"/>
          <w:numId w:val="14"/>
        </w:numPr>
      </w:pPr>
      <w:r>
        <w:t>Break the overall content into chunks of learning, aiming for no more than 10 minutes per chunk.</w:t>
      </w:r>
    </w:p>
    <w:p w:rsidR="00460FB2" w:rsidRDefault="00460FB2" w:rsidP="00460FB2">
      <w:pPr>
        <w:pStyle w:val="NoSpacing"/>
        <w:numPr>
          <w:ilvl w:val="0"/>
          <w:numId w:val="14"/>
        </w:numPr>
      </w:pPr>
      <w:r>
        <w:t xml:space="preserve">Determine the sequence that you think will give the learner an effective grasp of the topic. </w:t>
      </w:r>
    </w:p>
    <w:p w:rsidR="00851001" w:rsidRDefault="00851001" w:rsidP="00460FB2">
      <w:pPr>
        <w:pStyle w:val="NoSpacing"/>
        <w:numPr>
          <w:ilvl w:val="0"/>
          <w:numId w:val="14"/>
        </w:numPr>
      </w:pPr>
      <w:r>
        <w:t xml:space="preserve">Include activities, interactions, </w:t>
      </w:r>
      <w:proofErr w:type="spellStart"/>
      <w:r>
        <w:t>simalutions</w:t>
      </w:r>
      <w:proofErr w:type="spellEnd"/>
      <w:r>
        <w:t>, quizzes, etc. as content chunks</w:t>
      </w:r>
    </w:p>
    <w:p w:rsidR="00460FB2" w:rsidRDefault="00460FB2" w:rsidP="00FB739A">
      <w:pPr>
        <w:pStyle w:val="NoSpacing"/>
      </w:pPr>
    </w:p>
    <w:p w:rsidR="0006196B" w:rsidRDefault="0006196B" w:rsidP="00FB739A">
      <w:pPr>
        <w:pStyle w:val="NoSpacing"/>
      </w:pPr>
      <w:r>
        <w:t>Focus on the learner here rather than on your own pre-conceived notion of the topic outline. In particular, be wary of SMEs’ determination of the content order. The Heath brothers, authors of Made to Stick, warn about “the curse of knowledge,” the tendency for those who are deeply knowledgeable about a subject to overwhelm the learner with A-Z, historic, detailed information. Get back to what the learner will be able to DO.</w:t>
      </w:r>
    </w:p>
    <w:p w:rsidR="0006196B" w:rsidRDefault="0006196B" w:rsidP="00FB739A">
      <w:pPr>
        <w:pStyle w:val="NoSpacing"/>
      </w:pPr>
      <w:r>
        <w:t>*</w:t>
      </w:r>
      <w:r w:rsidRPr="0006196B">
        <w:t xml:space="preserve"> </w:t>
      </w:r>
      <w:r>
        <w:t>Refer to Dirksen, p 68, for an inverted perspective on the Bloom’s Taxonomy tradition order of learning progression.</w:t>
      </w:r>
    </w:p>
    <w:p w:rsidR="0006196B" w:rsidRDefault="0006196B" w:rsidP="00FB739A">
      <w:pPr>
        <w:pStyle w:val="NoSpacing"/>
      </w:pPr>
    </w:p>
    <w:p w:rsidR="00982BD0" w:rsidRPr="00A26FA2" w:rsidRDefault="00460FB2" w:rsidP="00FB739A">
      <w:pPr>
        <w:pStyle w:val="NoSpacing"/>
        <w:rPr>
          <w:b/>
          <w:sz w:val="24"/>
        </w:rPr>
      </w:pPr>
      <w:r w:rsidRPr="00A26FA2">
        <w:rPr>
          <w:b/>
          <w:sz w:val="24"/>
        </w:rPr>
        <w:t>Content Assets</w:t>
      </w:r>
    </w:p>
    <w:p w:rsidR="00460FB2" w:rsidRDefault="00851001" w:rsidP="00FB739A">
      <w:pPr>
        <w:pStyle w:val="NoSpacing"/>
      </w:pPr>
      <w:r>
        <w:t>Add in content assets pertaining to each chunk of the outline.</w:t>
      </w:r>
      <w:r w:rsidR="00A26FA2">
        <w:t xml:space="preserve"> If they are </w:t>
      </w:r>
      <w:proofErr w:type="gramStart"/>
      <w:r w:rsidR="00A26FA2">
        <w:t>existing</w:t>
      </w:r>
      <w:proofErr w:type="gramEnd"/>
      <w:r w:rsidR="00A26FA2">
        <w:t>, indicate the source and attribution</w:t>
      </w:r>
      <w:r w:rsidR="00105412">
        <w:t xml:space="preserve"> for each asset</w:t>
      </w:r>
      <w:r w:rsidR="00A26FA2">
        <w:t xml:space="preserve"> for future reference. Indicate if the asset is new and needs to be created.</w:t>
      </w:r>
    </w:p>
    <w:p w:rsidR="00A26FA2" w:rsidRDefault="00A26FA2" w:rsidP="00FB739A">
      <w:pPr>
        <w:pStyle w:val="NoSpacing"/>
      </w:pPr>
    </w:p>
    <w:p w:rsidR="00105412" w:rsidRPr="00105412" w:rsidRDefault="00A26FA2" w:rsidP="00FB739A">
      <w:pPr>
        <w:pStyle w:val="NoSpacing"/>
        <w:rPr>
          <w:b/>
          <w:sz w:val="24"/>
        </w:rPr>
      </w:pPr>
      <w:r w:rsidRPr="00105412">
        <w:rPr>
          <w:b/>
          <w:sz w:val="24"/>
        </w:rPr>
        <w:t xml:space="preserve">Visuals &amp; </w:t>
      </w:r>
      <w:r w:rsidR="00A46B09" w:rsidRPr="00105412">
        <w:rPr>
          <w:b/>
          <w:sz w:val="24"/>
        </w:rPr>
        <w:t xml:space="preserve">Design </w:t>
      </w:r>
      <w:r w:rsidR="00105412" w:rsidRPr="00105412">
        <w:rPr>
          <w:b/>
          <w:sz w:val="24"/>
        </w:rPr>
        <w:t>Elements</w:t>
      </w:r>
    </w:p>
    <w:p w:rsidR="00105412" w:rsidRDefault="00105412" w:rsidP="00105412">
      <w:pPr>
        <w:pStyle w:val="NoSpacing"/>
      </w:pPr>
      <w:r>
        <w:t>Include images or graphic elements (photos, logos, charts, etc.) to include with each content chunk. Indicate the source and attribution for each element for future reference.</w:t>
      </w:r>
    </w:p>
    <w:p w:rsidR="00427212" w:rsidRDefault="00427212" w:rsidP="00105412">
      <w:pPr>
        <w:pStyle w:val="NoSpacing"/>
      </w:pPr>
    </w:p>
    <w:p w:rsidR="00427212" w:rsidRDefault="00427212" w:rsidP="00105412">
      <w:pPr>
        <w:pStyle w:val="NoSpacing"/>
      </w:pPr>
      <w:r>
        <w:t>You may want to indicate other design elements if they are already determined, such as font, color schemes,</w:t>
      </w:r>
      <w:r w:rsidR="00A720A5">
        <w:t xml:space="preserve"> or layout template. Otherwise, you can make all these choices in Storyline.</w:t>
      </w:r>
    </w:p>
    <w:p w:rsidR="00105412" w:rsidRDefault="00105412" w:rsidP="00105412">
      <w:pPr>
        <w:pStyle w:val="NoSpacing"/>
      </w:pPr>
    </w:p>
    <w:p w:rsidR="00EC6EC8" w:rsidRPr="00EC6EC8" w:rsidRDefault="00EC6EC8" w:rsidP="00FB739A">
      <w:pPr>
        <w:pStyle w:val="NoSpacing"/>
        <w:rPr>
          <w:b/>
          <w:sz w:val="24"/>
        </w:rPr>
      </w:pPr>
      <w:r w:rsidRPr="00EC6EC8">
        <w:rPr>
          <w:b/>
          <w:sz w:val="24"/>
        </w:rPr>
        <w:t>Screen Text &amp; Narration</w:t>
      </w:r>
    </w:p>
    <w:p w:rsidR="00EC6EC8" w:rsidRDefault="00EC6EC8" w:rsidP="00FB739A">
      <w:pPr>
        <w:pStyle w:val="NoSpacing"/>
      </w:pPr>
      <w:r>
        <w:t>This is the place to be clear and consistent about what text will be included on each screen, noting there may be multiple screens for each chunk. This includes labels for buttons, activity feedback text, content of information supports, etc.</w:t>
      </w:r>
    </w:p>
    <w:p w:rsidR="00EC6EC8" w:rsidRDefault="00EC6EC8" w:rsidP="00FB739A">
      <w:pPr>
        <w:pStyle w:val="NoSpacing"/>
      </w:pPr>
    </w:p>
    <w:p w:rsidR="00EC6EC8" w:rsidRDefault="00EC6EC8" w:rsidP="00FB739A">
      <w:pPr>
        <w:pStyle w:val="NoSpacing"/>
      </w:pPr>
      <w:r>
        <w:t>You may also want to have a voice narration for the course. It is best practice to write out the script verbatim. If it is too much to include in the template, indicate where to find it and indicate clear begin-and-end points to align with screen changes.</w:t>
      </w:r>
    </w:p>
    <w:p w:rsidR="00A46B09" w:rsidRDefault="00A46B09" w:rsidP="00FB739A">
      <w:pPr>
        <w:pStyle w:val="NoSpacing"/>
      </w:pPr>
    </w:p>
    <w:p w:rsidR="00EC6EC8" w:rsidRPr="00893C22" w:rsidRDefault="0002127E" w:rsidP="00FB739A">
      <w:pPr>
        <w:pStyle w:val="NoSpacing"/>
        <w:rPr>
          <w:b/>
          <w:sz w:val="24"/>
        </w:rPr>
      </w:pPr>
      <w:r w:rsidRPr="00893C22">
        <w:rPr>
          <w:b/>
          <w:sz w:val="24"/>
        </w:rPr>
        <w:t>Audio</w:t>
      </w:r>
      <w:r w:rsidR="006801BE" w:rsidRPr="00893C22">
        <w:rPr>
          <w:b/>
          <w:sz w:val="24"/>
        </w:rPr>
        <w:t xml:space="preserve"> Track</w:t>
      </w:r>
    </w:p>
    <w:p w:rsidR="006801BE" w:rsidRDefault="006801BE" w:rsidP="00FB739A">
      <w:pPr>
        <w:pStyle w:val="NoSpacing"/>
      </w:pPr>
      <w:r>
        <w:t>If you want to have music or other voice-over in the course, indicate the file name, source and attribution in this column. Also note the</w:t>
      </w:r>
      <w:r w:rsidR="00893C22">
        <w:t xml:space="preserve"> begin-and-end and critical alignment points with the rest of the content.</w:t>
      </w:r>
    </w:p>
    <w:sectPr w:rsidR="006801BE" w:rsidSect="00EB64DE">
      <w:footerReference w:type="default" r:id="rId22"/>
      <w:pgSz w:w="12240" w:h="15840"/>
      <w:pgMar w:top="1440"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DEF" w:rsidRDefault="006E2DEF" w:rsidP="006A7168">
      <w:pPr>
        <w:spacing w:after="0" w:line="240" w:lineRule="auto"/>
      </w:pPr>
      <w:r>
        <w:separator/>
      </w:r>
    </w:p>
  </w:endnote>
  <w:endnote w:type="continuationSeparator" w:id="0">
    <w:p w:rsidR="006E2DEF" w:rsidRDefault="006E2DEF" w:rsidP="006A7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7133"/>
      <w:docPartObj>
        <w:docPartGallery w:val="Page Numbers (Bottom of Page)"/>
        <w:docPartUnique/>
      </w:docPartObj>
    </w:sdtPr>
    <w:sdtContent>
      <w:p w:rsidR="0002127E" w:rsidRDefault="00CF30DB">
        <w:pPr>
          <w:pStyle w:val="Footer"/>
          <w:jc w:val="right"/>
        </w:pPr>
        <w:fldSimple w:instr=" PAGE   \* MERGEFORMAT ">
          <w:r w:rsidR="00454D5F">
            <w:rPr>
              <w:noProof/>
            </w:rPr>
            <w:t>6</w:t>
          </w:r>
        </w:fldSimple>
      </w:p>
    </w:sdtContent>
  </w:sdt>
  <w:p w:rsidR="0002127E" w:rsidRDefault="00021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DEF" w:rsidRDefault="006E2DEF" w:rsidP="006A7168">
      <w:pPr>
        <w:spacing w:after="0" w:line="240" w:lineRule="auto"/>
      </w:pPr>
      <w:r>
        <w:separator/>
      </w:r>
    </w:p>
  </w:footnote>
  <w:footnote w:type="continuationSeparator" w:id="0">
    <w:p w:rsidR="006E2DEF" w:rsidRDefault="006E2DEF" w:rsidP="006A71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D6C"/>
    <w:multiLevelType w:val="hybridMultilevel"/>
    <w:tmpl w:val="36ACB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23EF6"/>
    <w:multiLevelType w:val="hybridMultilevel"/>
    <w:tmpl w:val="556C9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179CE"/>
    <w:multiLevelType w:val="hybridMultilevel"/>
    <w:tmpl w:val="635AF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E144C"/>
    <w:multiLevelType w:val="hybridMultilevel"/>
    <w:tmpl w:val="A0DC8E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07515D"/>
    <w:multiLevelType w:val="hybridMultilevel"/>
    <w:tmpl w:val="29E809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870360"/>
    <w:multiLevelType w:val="hybridMultilevel"/>
    <w:tmpl w:val="E96A12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B16AA"/>
    <w:multiLevelType w:val="hybridMultilevel"/>
    <w:tmpl w:val="5A3060B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3203B46"/>
    <w:multiLevelType w:val="hybridMultilevel"/>
    <w:tmpl w:val="62E45F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7B16480"/>
    <w:multiLevelType w:val="hybridMultilevel"/>
    <w:tmpl w:val="79763E18"/>
    <w:lvl w:ilvl="0" w:tplc="788E6862">
      <w:start w:val="1"/>
      <w:numFmt w:val="bullet"/>
      <w:lvlText w:val="-"/>
      <w:lvlJc w:val="left"/>
      <w:pPr>
        <w:tabs>
          <w:tab w:val="num" w:pos="720"/>
        </w:tabs>
        <w:ind w:left="720" w:hanging="360"/>
      </w:pPr>
      <w:rPr>
        <w:rFonts w:ascii="Times New Roman" w:hAnsi="Times New Roman" w:hint="default"/>
      </w:rPr>
    </w:lvl>
    <w:lvl w:ilvl="1" w:tplc="EB129048" w:tentative="1">
      <w:start w:val="1"/>
      <w:numFmt w:val="bullet"/>
      <w:lvlText w:val="-"/>
      <w:lvlJc w:val="left"/>
      <w:pPr>
        <w:tabs>
          <w:tab w:val="num" w:pos="1440"/>
        </w:tabs>
        <w:ind w:left="1440" w:hanging="360"/>
      </w:pPr>
      <w:rPr>
        <w:rFonts w:ascii="Times New Roman" w:hAnsi="Times New Roman" w:hint="default"/>
      </w:rPr>
    </w:lvl>
    <w:lvl w:ilvl="2" w:tplc="8C842CC8" w:tentative="1">
      <w:start w:val="1"/>
      <w:numFmt w:val="bullet"/>
      <w:lvlText w:val="-"/>
      <w:lvlJc w:val="left"/>
      <w:pPr>
        <w:tabs>
          <w:tab w:val="num" w:pos="2160"/>
        </w:tabs>
        <w:ind w:left="2160" w:hanging="360"/>
      </w:pPr>
      <w:rPr>
        <w:rFonts w:ascii="Times New Roman" w:hAnsi="Times New Roman" w:hint="default"/>
      </w:rPr>
    </w:lvl>
    <w:lvl w:ilvl="3" w:tplc="82FA1BC6" w:tentative="1">
      <w:start w:val="1"/>
      <w:numFmt w:val="bullet"/>
      <w:lvlText w:val="-"/>
      <w:lvlJc w:val="left"/>
      <w:pPr>
        <w:tabs>
          <w:tab w:val="num" w:pos="2880"/>
        </w:tabs>
        <w:ind w:left="2880" w:hanging="360"/>
      </w:pPr>
      <w:rPr>
        <w:rFonts w:ascii="Times New Roman" w:hAnsi="Times New Roman" w:hint="default"/>
      </w:rPr>
    </w:lvl>
    <w:lvl w:ilvl="4" w:tplc="C30AEAA8" w:tentative="1">
      <w:start w:val="1"/>
      <w:numFmt w:val="bullet"/>
      <w:lvlText w:val="-"/>
      <w:lvlJc w:val="left"/>
      <w:pPr>
        <w:tabs>
          <w:tab w:val="num" w:pos="3600"/>
        </w:tabs>
        <w:ind w:left="3600" w:hanging="360"/>
      </w:pPr>
      <w:rPr>
        <w:rFonts w:ascii="Times New Roman" w:hAnsi="Times New Roman" w:hint="default"/>
      </w:rPr>
    </w:lvl>
    <w:lvl w:ilvl="5" w:tplc="DE667918" w:tentative="1">
      <w:start w:val="1"/>
      <w:numFmt w:val="bullet"/>
      <w:lvlText w:val="-"/>
      <w:lvlJc w:val="left"/>
      <w:pPr>
        <w:tabs>
          <w:tab w:val="num" w:pos="4320"/>
        </w:tabs>
        <w:ind w:left="4320" w:hanging="360"/>
      </w:pPr>
      <w:rPr>
        <w:rFonts w:ascii="Times New Roman" w:hAnsi="Times New Roman" w:hint="default"/>
      </w:rPr>
    </w:lvl>
    <w:lvl w:ilvl="6" w:tplc="1656370A" w:tentative="1">
      <w:start w:val="1"/>
      <w:numFmt w:val="bullet"/>
      <w:lvlText w:val="-"/>
      <w:lvlJc w:val="left"/>
      <w:pPr>
        <w:tabs>
          <w:tab w:val="num" w:pos="5040"/>
        </w:tabs>
        <w:ind w:left="5040" w:hanging="360"/>
      </w:pPr>
      <w:rPr>
        <w:rFonts w:ascii="Times New Roman" w:hAnsi="Times New Roman" w:hint="default"/>
      </w:rPr>
    </w:lvl>
    <w:lvl w:ilvl="7" w:tplc="0BD2B334" w:tentative="1">
      <w:start w:val="1"/>
      <w:numFmt w:val="bullet"/>
      <w:lvlText w:val="-"/>
      <w:lvlJc w:val="left"/>
      <w:pPr>
        <w:tabs>
          <w:tab w:val="num" w:pos="5760"/>
        </w:tabs>
        <w:ind w:left="5760" w:hanging="360"/>
      </w:pPr>
      <w:rPr>
        <w:rFonts w:ascii="Times New Roman" w:hAnsi="Times New Roman" w:hint="default"/>
      </w:rPr>
    </w:lvl>
    <w:lvl w:ilvl="8" w:tplc="5C942B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650A7CBD"/>
    <w:multiLevelType w:val="hybridMultilevel"/>
    <w:tmpl w:val="59849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640B42"/>
    <w:multiLevelType w:val="hybridMultilevel"/>
    <w:tmpl w:val="76A8798E"/>
    <w:lvl w:ilvl="0" w:tplc="DD024542">
      <w:start w:val="1"/>
      <w:numFmt w:val="bullet"/>
      <w:lvlText w:val="-"/>
      <w:lvlJc w:val="left"/>
      <w:pPr>
        <w:tabs>
          <w:tab w:val="num" w:pos="720"/>
        </w:tabs>
        <w:ind w:left="720" w:hanging="360"/>
      </w:pPr>
      <w:rPr>
        <w:rFonts w:ascii="Times New Roman" w:hAnsi="Times New Roman" w:hint="default"/>
      </w:rPr>
    </w:lvl>
    <w:lvl w:ilvl="1" w:tplc="72E08614" w:tentative="1">
      <w:start w:val="1"/>
      <w:numFmt w:val="bullet"/>
      <w:lvlText w:val="-"/>
      <w:lvlJc w:val="left"/>
      <w:pPr>
        <w:tabs>
          <w:tab w:val="num" w:pos="1440"/>
        </w:tabs>
        <w:ind w:left="1440" w:hanging="360"/>
      </w:pPr>
      <w:rPr>
        <w:rFonts w:ascii="Times New Roman" w:hAnsi="Times New Roman" w:hint="default"/>
      </w:rPr>
    </w:lvl>
    <w:lvl w:ilvl="2" w:tplc="0E8A0A9A" w:tentative="1">
      <w:start w:val="1"/>
      <w:numFmt w:val="bullet"/>
      <w:lvlText w:val="-"/>
      <w:lvlJc w:val="left"/>
      <w:pPr>
        <w:tabs>
          <w:tab w:val="num" w:pos="2160"/>
        </w:tabs>
        <w:ind w:left="2160" w:hanging="360"/>
      </w:pPr>
      <w:rPr>
        <w:rFonts w:ascii="Times New Roman" w:hAnsi="Times New Roman" w:hint="default"/>
      </w:rPr>
    </w:lvl>
    <w:lvl w:ilvl="3" w:tplc="30AC7E86" w:tentative="1">
      <w:start w:val="1"/>
      <w:numFmt w:val="bullet"/>
      <w:lvlText w:val="-"/>
      <w:lvlJc w:val="left"/>
      <w:pPr>
        <w:tabs>
          <w:tab w:val="num" w:pos="2880"/>
        </w:tabs>
        <w:ind w:left="2880" w:hanging="360"/>
      </w:pPr>
      <w:rPr>
        <w:rFonts w:ascii="Times New Roman" w:hAnsi="Times New Roman" w:hint="default"/>
      </w:rPr>
    </w:lvl>
    <w:lvl w:ilvl="4" w:tplc="75C47C66" w:tentative="1">
      <w:start w:val="1"/>
      <w:numFmt w:val="bullet"/>
      <w:lvlText w:val="-"/>
      <w:lvlJc w:val="left"/>
      <w:pPr>
        <w:tabs>
          <w:tab w:val="num" w:pos="3600"/>
        </w:tabs>
        <w:ind w:left="3600" w:hanging="360"/>
      </w:pPr>
      <w:rPr>
        <w:rFonts w:ascii="Times New Roman" w:hAnsi="Times New Roman" w:hint="default"/>
      </w:rPr>
    </w:lvl>
    <w:lvl w:ilvl="5" w:tplc="DF984F74" w:tentative="1">
      <w:start w:val="1"/>
      <w:numFmt w:val="bullet"/>
      <w:lvlText w:val="-"/>
      <w:lvlJc w:val="left"/>
      <w:pPr>
        <w:tabs>
          <w:tab w:val="num" w:pos="4320"/>
        </w:tabs>
        <w:ind w:left="4320" w:hanging="360"/>
      </w:pPr>
      <w:rPr>
        <w:rFonts w:ascii="Times New Roman" w:hAnsi="Times New Roman" w:hint="default"/>
      </w:rPr>
    </w:lvl>
    <w:lvl w:ilvl="6" w:tplc="99E67198" w:tentative="1">
      <w:start w:val="1"/>
      <w:numFmt w:val="bullet"/>
      <w:lvlText w:val="-"/>
      <w:lvlJc w:val="left"/>
      <w:pPr>
        <w:tabs>
          <w:tab w:val="num" w:pos="5040"/>
        </w:tabs>
        <w:ind w:left="5040" w:hanging="360"/>
      </w:pPr>
      <w:rPr>
        <w:rFonts w:ascii="Times New Roman" w:hAnsi="Times New Roman" w:hint="default"/>
      </w:rPr>
    </w:lvl>
    <w:lvl w:ilvl="7" w:tplc="42CAAA3C" w:tentative="1">
      <w:start w:val="1"/>
      <w:numFmt w:val="bullet"/>
      <w:lvlText w:val="-"/>
      <w:lvlJc w:val="left"/>
      <w:pPr>
        <w:tabs>
          <w:tab w:val="num" w:pos="5760"/>
        </w:tabs>
        <w:ind w:left="5760" w:hanging="360"/>
      </w:pPr>
      <w:rPr>
        <w:rFonts w:ascii="Times New Roman" w:hAnsi="Times New Roman" w:hint="default"/>
      </w:rPr>
    </w:lvl>
    <w:lvl w:ilvl="8" w:tplc="50949C5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5C90F67"/>
    <w:multiLevelType w:val="hybridMultilevel"/>
    <w:tmpl w:val="31CA8D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150DB9"/>
    <w:multiLevelType w:val="hybridMultilevel"/>
    <w:tmpl w:val="3E3E5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86A26"/>
    <w:multiLevelType w:val="hybridMultilevel"/>
    <w:tmpl w:val="DF8824F2"/>
    <w:lvl w:ilvl="0" w:tplc="B374FFD6">
      <w:start w:val="1"/>
      <w:numFmt w:val="decimal"/>
      <w:lvlText w:val="%1."/>
      <w:lvlJc w:val="left"/>
      <w:pPr>
        <w:tabs>
          <w:tab w:val="num" w:pos="720"/>
        </w:tabs>
        <w:ind w:left="720" w:hanging="360"/>
      </w:pPr>
    </w:lvl>
    <w:lvl w:ilvl="1" w:tplc="5BA4FE98" w:tentative="1">
      <w:start w:val="1"/>
      <w:numFmt w:val="decimal"/>
      <w:lvlText w:val="%2."/>
      <w:lvlJc w:val="left"/>
      <w:pPr>
        <w:tabs>
          <w:tab w:val="num" w:pos="1440"/>
        </w:tabs>
        <w:ind w:left="1440" w:hanging="360"/>
      </w:pPr>
    </w:lvl>
    <w:lvl w:ilvl="2" w:tplc="BD48EB88" w:tentative="1">
      <w:start w:val="1"/>
      <w:numFmt w:val="decimal"/>
      <w:lvlText w:val="%3."/>
      <w:lvlJc w:val="left"/>
      <w:pPr>
        <w:tabs>
          <w:tab w:val="num" w:pos="2160"/>
        </w:tabs>
        <w:ind w:left="2160" w:hanging="360"/>
      </w:pPr>
    </w:lvl>
    <w:lvl w:ilvl="3" w:tplc="685CE8C4" w:tentative="1">
      <w:start w:val="1"/>
      <w:numFmt w:val="decimal"/>
      <w:lvlText w:val="%4."/>
      <w:lvlJc w:val="left"/>
      <w:pPr>
        <w:tabs>
          <w:tab w:val="num" w:pos="2880"/>
        </w:tabs>
        <w:ind w:left="2880" w:hanging="360"/>
      </w:pPr>
    </w:lvl>
    <w:lvl w:ilvl="4" w:tplc="550AFB2A" w:tentative="1">
      <w:start w:val="1"/>
      <w:numFmt w:val="decimal"/>
      <w:lvlText w:val="%5."/>
      <w:lvlJc w:val="left"/>
      <w:pPr>
        <w:tabs>
          <w:tab w:val="num" w:pos="3600"/>
        </w:tabs>
        <w:ind w:left="3600" w:hanging="360"/>
      </w:pPr>
    </w:lvl>
    <w:lvl w:ilvl="5" w:tplc="40322A88" w:tentative="1">
      <w:start w:val="1"/>
      <w:numFmt w:val="decimal"/>
      <w:lvlText w:val="%6."/>
      <w:lvlJc w:val="left"/>
      <w:pPr>
        <w:tabs>
          <w:tab w:val="num" w:pos="4320"/>
        </w:tabs>
        <w:ind w:left="4320" w:hanging="360"/>
      </w:pPr>
    </w:lvl>
    <w:lvl w:ilvl="6" w:tplc="1096890E" w:tentative="1">
      <w:start w:val="1"/>
      <w:numFmt w:val="decimal"/>
      <w:lvlText w:val="%7."/>
      <w:lvlJc w:val="left"/>
      <w:pPr>
        <w:tabs>
          <w:tab w:val="num" w:pos="5040"/>
        </w:tabs>
        <w:ind w:left="5040" w:hanging="360"/>
      </w:pPr>
    </w:lvl>
    <w:lvl w:ilvl="7" w:tplc="766A6206" w:tentative="1">
      <w:start w:val="1"/>
      <w:numFmt w:val="decimal"/>
      <w:lvlText w:val="%8."/>
      <w:lvlJc w:val="left"/>
      <w:pPr>
        <w:tabs>
          <w:tab w:val="num" w:pos="5760"/>
        </w:tabs>
        <w:ind w:left="5760" w:hanging="360"/>
      </w:pPr>
    </w:lvl>
    <w:lvl w:ilvl="8" w:tplc="0D26E9B6"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11"/>
  </w:num>
  <w:num w:numId="5">
    <w:abstractNumId w:val="7"/>
  </w:num>
  <w:num w:numId="6">
    <w:abstractNumId w:val="9"/>
  </w:num>
  <w:num w:numId="7">
    <w:abstractNumId w:val="5"/>
  </w:num>
  <w:num w:numId="8">
    <w:abstractNumId w:val="0"/>
  </w:num>
  <w:num w:numId="9">
    <w:abstractNumId w:val="13"/>
  </w:num>
  <w:num w:numId="10">
    <w:abstractNumId w:val="6"/>
  </w:num>
  <w:num w:numId="11">
    <w:abstractNumId w:val="2"/>
  </w:num>
  <w:num w:numId="12">
    <w:abstractNumId w:val="1"/>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739A"/>
    <w:rsid w:val="00005FC1"/>
    <w:rsid w:val="000157DB"/>
    <w:rsid w:val="0002127E"/>
    <w:rsid w:val="000269B3"/>
    <w:rsid w:val="0004580A"/>
    <w:rsid w:val="0004611B"/>
    <w:rsid w:val="000566D0"/>
    <w:rsid w:val="0006196B"/>
    <w:rsid w:val="0006362B"/>
    <w:rsid w:val="00072DE8"/>
    <w:rsid w:val="000821EB"/>
    <w:rsid w:val="00082453"/>
    <w:rsid w:val="000924E9"/>
    <w:rsid w:val="000A5CC4"/>
    <w:rsid w:val="00100231"/>
    <w:rsid w:val="00105412"/>
    <w:rsid w:val="00111A8D"/>
    <w:rsid w:val="001364CE"/>
    <w:rsid w:val="00176FBA"/>
    <w:rsid w:val="001B1E40"/>
    <w:rsid w:val="001E1B47"/>
    <w:rsid w:val="001F74D8"/>
    <w:rsid w:val="00202D92"/>
    <w:rsid w:val="00214962"/>
    <w:rsid w:val="002167FF"/>
    <w:rsid w:val="00217AE3"/>
    <w:rsid w:val="002429F6"/>
    <w:rsid w:val="00250C66"/>
    <w:rsid w:val="00260FDD"/>
    <w:rsid w:val="00276A15"/>
    <w:rsid w:val="002771A6"/>
    <w:rsid w:val="00280D13"/>
    <w:rsid w:val="002819AC"/>
    <w:rsid w:val="00297DC4"/>
    <w:rsid w:val="002C7D9D"/>
    <w:rsid w:val="002C7E13"/>
    <w:rsid w:val="002D67AD"/>
    <w:rsid w:val="00310445"/>
    <w:rsid w:val="00316609"/>
    <w:rsid w:val="00336529"/>
    <w:rsid w:val="00357185"/>
    <w:rsid w:val="00363A93"/>
    <w:rsid w:val="00364784"/>
    <w:rsid w:val="00365A8B"/>
    <w:rsid w:val="00371EEC"/>
    <w:rsid w:val="00397FDB"/>
    <w:rsid w:val="003A26A2"/>
    <w:rsid w:val="003B3AEE"/>
    <w:rsid w:val="003B5CBA"/>
    <w:rsid w:val="003B7736"/>
    <w:rsid w:val="003B7883"/>
    <w:rsid w:val="00422BA1"/>
    <w:rsid w:val="00426CDA"/>
    <w:rsid w:val="00427212"/>
    <w:rsid w:val="00454D5F"/>
    <w:rsid w:val="00456F2A"/>
    <w:rsid w:val="00460FB2"/>
    <w:rsid w:val="00470CE0"/>
    <w:rsid w:val="00476C95"/>
    <w:rsid w:val="00486B12"/>
    <w:rsid w:val="004C59E8"/>
    <w:rsid w:val="005015D0"/>
    <w:rsid w:val="005079BE"/>
    <w:rsid w:val="00532E88"/>
    <w:rsid w:val="005432DA"/>
    <w:rsid w:val="00557E2E"/>
    <w:rsid w:val="00577091"/>
    <w:rsid w:val="00580851"/>
    <w:rsid w:val="005C61A3"/>
    <w:rsid w:val="005D1353"/>
    <w:rsid w:val="005D360D"/>
    <w:rsid w:val="005F5F87"/>
    <w:rsid w:val="00640AC3"/>
    <w:rsid w:val="00651FA5"/>
    <w:rsid w:val="006560CB"/>
    <w:rsid w:val="0065768E"/>
    <w:rsid w:val="00671630"/>
    <w:rsid w:val="00674D01"/>
    <w:rsid w:val="006801BE"/>
    <w:rsid w:val="00696768"/>
    <w:rsid w:val="006A3BB2"/>
    <w:rsid w:val="006A5E38"/>
    <w:rsid w:val="006A7168"/>
    <w:rsid w:val="006B7620"/>
    <w:rsid w:val="006C17C3"/>
    <w:rsid w:val="006C3175"/>
    <w:rsid w:val="006C5F16"/>
    <w:rsid w:val="006D10CA"/>
    <w:rsid w:val="006D5403"/>
    <w:rsid w:val="006E2DEF"/>
    <w:rsid w:val="006F07D1"/>
    <w:rsid w:val="006F7BE3"/>
    <w:rsid w:val="00703DC1"/>
    <w:rsid w:val="00712B19"/>
    <w:rsid w:val="00721A53"/>
    <w:rsid w:val="00721F14"/>
    <w:rsid w:val="007575D8"/>
    <w:rsid w:val="007628E8"/>
    <w:rsid w:val="007629AF"/>
    <w:rsid w:val="00770A6E"/>
    <w:rsid w:val="007710EC"/>
    <w:rsid w:val="00783334"/>
    <w:rsid w:val="007B38E8"/>
    <w:rsid w:val="007E2ABD"/>
    <w:rsid w:val="007E36D0"/>
    <w:rsid w:val="00817EC9"/>
    <w:rsid w:val="00832800"/>
    <w:rsid w:val="00851001"/>
    <w:rsid w:val="00883A97"/>
    <w:rsid w:val="00886BE7"/>
    <w:rsid w:val="00892FC5"/>
    <w:rsid w:val="00893C22"/>
    <w:rsid w:val="008A1371"/>
    <w:rsid w:val="008C223B"/>
    <w:rsid w:val="008E04DD"/>
    <w:rsid w:val="008F5C91"/>
    <w:rsid w:val="00903DDF"/>
    <w:rsid w:val="00930CA7"/>
    <w:rsid w:val="00972CC6"/>
    <w:rsid w:val="0097657A"/>
    <w:rsid w:val="00981AFF"/>
    <w:rsid w:val="00982BD0"/>
    <w:rsid w:val="00984B4C"/>
    <w:rsid w:val="00991314"/>
    <w:rsid w:val="009A7D5A"/>
    <w:rsid w:val="009B5D8E"/>
    <w:rsid w:val="009F0C95"/>
    <w:rsid w:val="009F6024"/>
    <w:rsid w:val="00A07389"/>
    <w:rsid w:val="00A26882"/>
    <w:rsid w:val="00A26FA2"/>
    <w:rsid w:val="00A46B09"/>
    <w:rsid w:val="00A4727B"/>
    <w:rsid w:val="00A65DA8"/>
    <w:rsid w:val="00A720A5"/>
    <w:rsid w:val="00A76B99"/>
    <w:rsid w:val="00A969D4"/>
    <w:rsid w:val="00AA251F"/>
    <w:rsid w:val="00AB4E39"/>
    <w:rsid w:val="00B0500E"/>
    <w:rsid w:val="00B05617"/>
    <w:rsid w:val="00B177F4"/>
    <w:rsid w:val="00B32F04"/>
    <w:rsid w:val="00B84881"/>
    <w:rsid w:val="00B86725"/>
    <w:rsid w:val="00BC714D"/>
    <w:rsid w:val="00BE747C"/>
    <w:rsid w:val="00BF4D12"/>
    <w:rsid w:val="00C33477"/>
    <w:rsid w:val="00C62246"/>
    <w:rsid w:val="00C726DD"/>
    <w:rsid w:val="00C74525"/>
    <w:rsid w:val="00CC670E"/>
    <w:rsid w:val="00CF2249"/>
    <w:rsid w:val="00CF30DB"/>
    <w:rsid w:val="00D04255"/>
    <w:rsid w:val="00D268DF"/>
    <w:rsid w:val="00D80D48"/>
    <w:rsid w:val="00D84EA1"/>
    <w:rsid w:val="00DA4B93"/>
    <w:rsid w:val="00DC190E"/>
    <w:rsid w:val="00DD4B70"/>
    <w:rsid w:val="00DE2246"/>
    <w:rsid w:val="00E00C18"/>
    <w:rsid w:val="00E06198"/>
    <w:rsid w:val="00E22743"/>
    <w:rsid w:val="00E32695"/>
    <w:rsid w:val="00E571C5"/>
    <w:rsid w:val="00E57B93"/>
    <w:rsid w:val="00E57F6E"/>
    <w:rsid w:val="00E61B25"/>
    <w:rsid w:val="00E75FBA"/>
    <w:rsid w:val="00E76C78"/>
    <w:rsid w:val="00E85B84"/>
    <w:rsid w:val="00E87E13"/>
    <w:rsid w:val="00EA1AE4"/>
    <w:rsid w:val="00EB64DE"/>
    <w:rsid w:val="00EC6EC8"/>
    <w:rsid w:val="00F20778"/>
    <w:rsid w:val="00F24110"/>
    <w:rsid w:val="00F95BD2"/>
    <w:rsid w:val="00FA00CC"/>
    <w:rsid w:val="00FA3BEC"/>
    <w:rsid w:val="00FA6F3F"/>
    <w:rsid w:val="00FB739A"/>
    <w:rsid w:val="00FC1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BA"/>
  </w:style>
  <w:style w:type="paragraph" w:styleId="Heading1">
    <w:name w:val="heading 1"/>
    <w:basedOn w:val="Normal"/>
    <w:next w:val="Normal"/>
    <w:link w:val="Heading1Char"/>
    <w:uiPriority w:val="9"/>
    <w:qFormat/>
    <w:rsid w:val="00E85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39A"/>
    <w:pPr>
      <w:spacing w:after="0" w:line="240" w:lineRule="auto"/>
    </w:pPr>
  </w:style>
  <w:style w:type="paragraph" w:styleId="NormalWeb">
    <w:name w:val="Normal (Web)"/>
    <w:basedOn w:val="Normal"/>
    <w:uiPriority w:val="99"/>
    <w:semiHidden/>
    <w:unhideWhenUsed/>
    <w:rsid w:val="00FB7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5B8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629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9A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C190E"/>
    <w:rPr>
      <w:color w:val="0000FF" w:themeColor="hyperlink"/>
      <w:u w:val="single"/>
    </w:rPr>
  </w:style>
  <w:style w:type="paragraph" w:styleId="BalloonText">
    <w:name w:val="Balloon Text"/>
    <w:basedOn w:val="Normal"/>
    <w:link w:val="BalloonTextChar"/>
    <w:uiPriority w:val="99"/>
    <w:semiHidden/>
    <w:unhideWhenUsed/>
    <w:rsid w:val="00EB6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4DE"/>
    <w:rPr>
      <w:rFonts w:ascii="Tahoma" w:hAnsi="Tahoma" w:cs="Tahoma"/>
      <w:sz w:val="16"/>
      <w:szCs w:val="16"/>
    </w:rPr>
  </w:style>
  <w:style w:type="table" w:styleId="TableGrid">
    <w:name w:val="Table Grid"/>
    <w:basedOn w:val="TableNormal"/>
    <w:uiPriority w:val="59"/>
    <w:rsid w:val="000A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A71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7168"/>
  </w:style>
  <w:style w:type="paragraph" w:styleId="Footer">
    <w:name w:val="footer"/>
    <w:basedOn w:val="Normal"/>
    <w:link w:val="FooterChar"/>
    <w:uiPriority w:val="99"/>
    <w:unhideWhenUsed/>
    <w:rsid w:val="006A7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68"/>
  </w:style>
  <w:style w:type="paragraph" w:styleId="ListParagraph">
    <w:name w:val="List Paragraph"/>
    <w:basedOn w:val="Normal"/>
    <w:uiPriority w:val="34"/>
    <w:qFormat/>
    <w:rsid w:val="00886BE7"/>
    <w:pPr>
      <w:ind w:left="720"/>
      <w:contextualSpacing/>
    </w:pPr>
  </w:style>
</w:styles>
</file>

<file path=word/webSettings.xml><?xml version="1.0" encoding="utf-8"?>
<w:webSettings xmlns:r="http://schemas.openxmlformats.org/officeDocument/2006/relationships" xmlns:w="http://schemas.openxmlformats.org/wordprocessingml/2006/main">
  <w:divs>
    <w:div w:id="199634305">
      <w:bodyDiv w:val="1"/>
      <w:marLeft w:val="0"/>
      <w:marRight w:val="0"/>
      <w:marTop w:val="0"/>
      <w:marBottom w:val="0"/>
      <w:divBdr>
        <w:top w:val="none" w:sz="0" w:space="0" w:color="auto"/>
        <w:left w:val="none" w:sz="0" w:space="0" w:color="auto"/>
        <w:bottom w:val="none" w:sz="0" w:space="0" w:color="auto"/>
        <w:right w:val="none" w:sz="0" w:space="0" w:color="auto"/>
      </w:divBdr>
    </w:div>
    <w:div w:id="641664516">
      <w:bodyDiv w:val="1"/>
      <w:marLeft w:val="0"/>
      <w:marRight w:val="0"/>
      <w:marTop w:val="0"/>
      <w:marBottom w:val="0"/>
      <w:divBdr>
        <w:top w:val="none" w:sz="0" w:space="0" w:color="auto"/>
        <w:left w:val="none" w:sz="0" w:space="0" w:color="auto"/>
        <w:bottom w:val="none" w:sz="0" w:space="0" w:color="auto"/>
        <w:right w:val="none" w:sz="0" w:space="0" w:color="auto"/>
      </w:divBdr>
    </w:div>
    <w:div w:id="734671278">
      <w:bodyDiv w:val="1"/>
      <w:marLeft w:val="0"/>
      <w:marRight w:val="0"/>
      <w:marTop w:val="0"/>
      <w:marBottom w:val="0"/>
      <w:divBdr>
        <w:top w:val="none" w:sz="0" w:space="0" w:color="auto"/>
        <w:left w:val="none" w:sz="0" w:space="0" w:color="auto"/>
        <w:bottom w:val="none" w:sz="0" w:space="0" w:color="auto"/>
        <w:right w:val="none" w:sz="0" w:space="0" w:color="auto"/>
      </w:divBdr>
      <w:divsChild>
        <w:div w:id="1088305229">
          <w:marLeft w:val="806"/>
          <w:marRight w:val="0"/>
          <w:marTop w:val="173"/>
          <w:marBottom w:val="120"/>
          <w:divBdr>
            <w:top w:val="none" w:sz="0" w:space="0" w:color="auto"/>
            <w:left w:val="none" w:sz="0" w:space="0" w:color="auto"/>
            <w:bottom w:val="none" w:sz="0" w:space="0" w:color="auto"/>
            <w:right w:val="none" w:sz="0" w:space="0" w:color="auto"/>
          </w:divBdr>
        </w:div>
        <w:div w:id="2055545988">
          <w:marLeft w:val="806"/>
          <w:marRight w:val="0"/>
          <w:marTop w:val="173"/>
          <w:marBottom w:val="120"/>
          <w:divBdr>
            <w:top w:val="none" w:sz="0" w:space="0" w:color="auto"/>
            <w:left w:val="none" w:sz="0" w:space="0" w:color="auto"/>
            <w:bottom w:val="none" w:sz="0" w:space="0" w:color="auto"/>
            <w:right w:val="none" w:sz="0" w:space="0" w:color="auto"/>
          </w:divBdr>
        </w:div>
        <w:div w:id="1874148340">
          <w:marLeft w:val="806"/>
          <w:marRight w:val="0"/>
          <w:marTop w:val="173"/>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webjunction.org/documents/webjunction/guide-to-successful-webinars.html"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webjunction.org/documents/webjunction/guide-to-successful-webinars.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articulate.com/rapid-elearning/how-to-overcome-the-challenge-of-working-with-subject-matter-expe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hyperlink" Target="http://blog.cathy-moore.com/wp-content/action-mapping-flowchart-v2.pdf" TargetMode="External"/><Relationship Id="rId19" Type="http://schemas.openxmlformats.org/officeDocument/2006/relationships/hyperlink" Target="http://www.articulate.com/rapid-elearning/how-to-overcome-the-challenge-of-working-with-subject-matter-experts/" TargetMode="External"/><Relationship Id="rId4" Type="http://schemas.openxmlformats.org/officeDocument/2006/relationships/settings" Target="settings.xml"/><Relationship Id="rId9" Type="http://schemas.openxmlformats.org/officeDocument/2006/relationships/hyperlink" Target="http://blog.cathy-moore.com/wp-content/action-mapping-flowchart-v2.pdf" TargetMode="External"/><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3A4D-9550-4F56-85F5-E22B975F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Gutsche</dc:creator>
  <cp:lastModifiedBy>petersoj</cp:lastModifiedBy>
  <cp:revision>2</cp:revision>
  <dcterms:created xsi:type="dcterms:W3CDTF">2014-08-22T16:49:00Z</dcterms:created>
  <dcterms:modified xsi:type="dcterms:W3CDTF">2014-08-22T16:49:00Z</dcterms:modified>
</cp:coreProperties>
</file>